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90459" w14:textId="77777777" w:rsidR="002C235E" w:rsidRDefault="002C235E" w:rsidP="00E12002">
      <w:pPr>
        <w:keepNext/>
        <w:keepLines/>
        <w:pBdr>
          <w:top w:val="single" w:sz="4" w:space="0" w:color="auto"/>
          <w:left w:val="single" w:sz="4" w:space="4" w:color="auto"/>
          <w:bottom w:val="single" w:sz="4" w:space="0" w:color="auto"/>
          <w:right w:val="single" w:sz="4" w:space="4" w:color="auto"/>
        </w:pBdr>
        <w:spacing w:after="0" w:line="276" w:lineRule="auto"/>
        <w:jc w:val="center"/>
        <w:outlineLvl w:val="0"/>
        <w:rPr>
          <w:rFonts w:ascii="Cambria" w:eastAsiaTheme="majorEastAsia" w:hAnsi="Cambria" w:cstheme="majorBidi"/>
          <w:b/>
          <w:sz w:val="44"/>
          <w:szCs w:val="32"/>
        </w:rPr>
      </w:pPr>
      <w:r>
        <w:rPr>
          <w:noProof/>
        </w:rPr>
        <w:drawing>
          <wp:inline distT="0" distB="0" distL="0" distR="0" wp14:anchorId="5CA7F27F" wp14:editId="320EEAB3">
            <wp:extent cx="4128448" cy="1191536"/>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9462" cy="1194715"/>
                    </a:xfrm>
                    <a:prstGeom prst="rect">
                      <a:avLst/>
                    </a:prstGeom>
                    <a:noFill/>
                    <a:ln>
                      <a:noFill/>
                    </a:ln>
                  </pic:spPr>
                </pic:pic>
              </a:graphicData>
            </a:graphic>
          </wp:inline>
        </w:drawing>
      </w:r>
    </w:p>
    <w:p w14:paraId="1A38AF43" w14:textId="77777777" w:rsidR="00697CD9" w:rsidRPr="00262D03" w:rsidRDefault="00697CD9" w:rsidP="00E12002">
      <w:pPr>
        <w:keepNext/>
        <w:keepLines/>
        <w:pBdr>
          <w:top w:val="single" w:sz="4" w:space="0" w:color="auto"/>
          <w:left w:val="single" w:sz="4" w:space="4" w:color="auto"/>
          <w:bottom w:val="single" w:sz="4" w:space="0" w:color="auto"/>
          <w:right w:val="single" w:sz="4" w:space="4" w:color="auto"/>
        </w:pBdr>
        <w:spacing w:after="0" w:line="276" w:lineRule="auto"/>
        <w:jc w:val="center"/>
        <w:outlineLvl w:val="0"/>
        <w:rPr>
          <w:rFonts w:ascii="Cambria" w:eastAsiaTheme="majorEastAsia" w:hAnsi="Cambria" w:cstheme="majorBidi"/>
          <w:b/>
          <w:sz w:val="44"/>
          <w:szCs w:val="32"/>
        </w:rPr>
      </w:pPr>
      <w:r>
        <w:rPr>
          <w:rFonts w:ascii="Cambria" w:eastAsiaTheme="majorEastAsia" w:hAnsi="Cambria" w:cstheme="majorBidi"/>
          <w:b/>
          <w:sz w:val="44"/>
          <w:szCs w:val="32"/>
        </w:rPr>
        <w:t>REDEMPTION</w:t>
      </w:r>
      <w:r w:rsidRPr="00262D03">
        <w:rPr>
          <w:rFonts w:ascii="Cambria" w:eastAsiaTheme="majorEastAsia" w:hAnsi="Cambria" w:cstheme="majorBidi"/>
          <w:b/>
          <w:sz w:val="44"/>
          <w:szCs w:val="32"/>
        </w:rPr>
        <w:t xml:space="preserve"> POLICY</w:t>
      </w:r>
      <w:r>
        <w:rPr>
          <w:rFonts w:ascii="Cambria" w:eastAsiaTheme="majorEastAsia" w:hAnsi="Cambria" w:cstheme="majorBidi"/>
          <w:b/>
          <w:sz w:val="44"/>
          <w:szCs w:val="32"/>
        </w:rPr>
        <w:t xml:space="preserve"> 7-10</w:t>
      </w:r>
    </w:p>
    <w:p w14:paraId="0BA86A85" w14:textId="77777777" w:rsidR="00697CD9" w:rsidRPr="00262D03" w:rsidRDefault="00697CD9" w:rsidP="00E12002">
      <w:pPr>
        <w:spacing w:after="0" w:line="276" w:lineRule="auto"/>
        <w:rPr>
          <w:rFonts w:ascii="Cambria" w:hAnsi="Cambria"/>
          <w:b/>
        </w:rPr>
      </w:pPr>
    </w:p>
    <w:p w14:paraId="570B273D" w14:textId="77777777" w:rsidR="00697CD9" w:rsidRPr="00262D03" w:rsidRDefault="00697CD9" w:rsidP="00E12002">
      <w:pPr>
        <w:spacing w:after="0" w:line="276" w:lineRule="auto"/>
        <w:rPr>
          <w:rFonts w:ascii="Cambria" w:hAnsi="Cambria"/>
        </w:rPr>
      </w:pPr>
    </w:p>
    <w:p w14:paraId="61ED2E78" w14:textId="77777777" w:rsidR="00697CD9" w:rsidRPr="00E12002" w:rsidRDefault="00697CD9" w:rsidP="00E12002">
      <w:pPr>
        <w:pStyle w:val="Heading2"/>
        <w:spacing w:before="0" w:line="276" w:lineRule="auto"/>
        <w:jc w:val="both"/>
        <w:rPr>
          <w:rFonts w:ascii="Cambria" w:hAnsi="Cambria"/>
          <w:b/>
          <w:caps/>
          <w:color w:val="auto"/>
        </w:rPr>
      </w:pPr>
      <w:r w:rsidRPr="00262D03">
        <w:rPr>
          <w:rFonts w:ascii="Cambria" w:hAnsi="Cambria"/>
          <w:b/>
          <w:caps/>
          <w:color w:val="auto"/>
        </w:rPr>
        <w:t>Purpose</w:t>
      </w:r>
    </w:p>
    <w:p w14:paraId="631C8D3B" w14:textId="77777777" w:rsidR="00697CD9" w:rsidRPr="00262D03" w:rsidRDefault="00697CD9" w:rsidP="00E12002">
      <w:pPr>
        <w:spacing w:after="0" w:line="276" w:lineRule="auto"/>
        <w:jc w:val="both"/>
        <w:rPr>
          <w:rFonts w:ascii="Cambria" w:hAnsi="Cambria"/>
        </w:rPr>
      </w:pPr>
      <w:r w:rsidRPr="00262D03">
        <w:rPr>
          <w:rFonts w:ascii="Cambria" w:hAnsi="Cambria"/>
        </w:rPr>
        <w:t xml:space="preserve">The purpose of this policy is to outline to our school community </w:t>
      </w:r>
      <w:r w:rsidRPr="00262D03">
        <w:rPr>
          <w:rFonts w:ascii="Cambria" w:hAnsi="Cambria" w:cstheme="minorHAnsi"/>
        </w:rPr>
        <w:t>Emerald Secondary College’s policy requirements relating to</w:t>
      </w:r>
      <w:r>
        <w:rPr>
          <w:rFonts w:ascii="Cambria" w:hAnsi="Cambria" w:cstheme="minorHAnsi"/>
        </w:rPr>
        <w:t xml:space="preserve"> student assessment redemption in the case of an unsatisfactory result.</w:t>
      </w:r>
    </w:p>
    <w:p w14:paraId="5962EFE4" w14:textId="77777777" w:rsidR="00697CD9" w:rsidRPr="00262D03" w:rsidRDefault="00697CD9" w:rsidP="00E12002">
      <w:pPr>
        <w:pStyle w:val="Heading2"/>
        <w:spacing w:before="0" w:line="276" w:lineRule="auto"/>
        <w:jc w:val="both"/>
        <w:rPr>
          <w:rFonts w:ascii="Cambria" w:hAnsi="Cambria"/>
          <w:b/>
          <w:caps/>
          <w:color w:val="auto"/>
        </w:rPr>
      </w:pPr>
    </w:p>
    <w:p w14:paraId="4399E767" w14:textId="77777777" w:rsidR="00697CD9" w:rsidRPr="00E12002" w:rsidRDefault="00697CD9" w:rsidP="00E12002">
      <w:pPr>
        <w:pStyle w:val="Heading2"/>
        <w:spacing w:before="0" w:line="276" w:lineRule="auto"/>
        <w:jc w:val="both"/>
        <w:rPr>
          <w:rFonts w:ascii="Cambria" w:hAnsi="Cambria"/>
          <w:b/>
          <w:caps/>
          <w:color w:val="auto"/>
        </w:rPr>
      </w:pPr>
      <w:r w:rsidRPr="00262D03">
        <w:rPr>
          <w:rFonts w:ascii="Cambria" w:hAnsi="Cambria"/>
          <w:b/>
          <w:caps/>
          <w:color w:val="auto"/>
        </w:rPr>
        <w:t>Scope</w:t>
      </w:r>
    </w:p>
    <w:p w14:paraId="024F31A3" w14:textId="77777777" w:rsidR="00697CD9" w:rsidRDefault="00697CD9" w:rsidP="00E12002">
      <w:pPr>
        <w:pStyle w:val="Heading2"/>
        <w:spacing w:before="0" w:line="276" w:lineRule="auto"/>
        <w:jc w:val="both"/>
        <w:rPr>
          <w:rFonts w:ascii="Cambria" w:eastAsiaTheme="minorHAnsi" w:hAnsi="Cambria" w:cstheme="minorBidi"/>
          <w:color w:val="auto"/>
          <w:sz w:val="22"/>
          <w:szCs w:val="22"/>
        </w:rPr>
      </w:pPr>
      <w:r w:rsidRPr="004D3FAB">
        <w:rPr>
          <w:rFonts w:ascii="Cambria" w:eastAsiaTheme="minorHAnsi" w:hAnsi="Cambria" w:cstheme="minorBidi"/>
          <w:color w:val="auto"/>
          <w:sz w:val="22"/>
          <w:szCs w:val="22"/>
        </w:rPr>
        <w:t xml:space="preserve">This policy applies to students in </w:t>
      </w:r>
      <w:r>
        <w:rPr>
          <w:rFonts w:ascii="Cambria" w:eastAsiaTheme="minorHAnsi" w:hAnsi="Cambria" w:cstheme="minorBidi"/>
          <w:color w:val="auto"/>
          <w:sz w:val="22"/>
          <w:szCs w:val="22"/>
        </w:rPr>
        <w:t>Years 7 to 10</w:t>
      </w:r>
      <w:r w:rsidRPr="004D3FAB">
        <w:rPr>
          <w:rFonts w:ascii="Cambria" w:eastAsiaTheme="minorHAnsi" w:hAnsi="Cambria" w:cstheme="minorBidi"/>
          <w:color w:val="auto"/>
          <w:sz w:val="22"/>
          <w:szCs w:val="22"/>
        </w:rPr>
        <w:t xml:space="preserve"> and staff for setting and monitoring student assessment. </w:t>
      </w:r>
      <w:r>
        <w:rPr>
          <w:rFonts w:ascii="Cambria" w:eastAsiaTheme="minorHAnsi" w:hAnsi="Cambria" w:cstheme="minorBidi"/>
          <w:color w:val="auto"/>
          <w:sz w:val="22"/>
          <w:szCs w:val="22"/>
        </w:rPr>
        <w:t>For students undertaking a VCE/ VCE VM subjects, please refer to the</w:t>
      </w:r>
      <w:r w:rsidRPr="004D3FAB">
        <w:rPr>
          <w:rFonts w:ascii="Cambria" w:eastAsiaTheme="minorHAnsi" w:hAnsi="Cambria" w:cstheme="minorBidi"/>
          <w:color w:val="auto"/>
          <w:sz w:val="22"/>
          <w:szCs w:val="22"/>
        </w:rPr>
        <w:t xml:space="preserve"> </w:t>
      </w:r>
      <w:r>
        <w:rPr>
          <w:rFonts w:ascii="Cambria" w:eastAsiaTheme="minorHAnsi" w:hAnsi="Cambria" w:cstheme="minorBidi"/>
          <w:color w:val="auto"/>
          <w:sz w:val="22"/>
          <w:szCs w:val="22"/>
        </w:rPr>
        <w:t>Senior School</w:t>
      </w:r>
      <w:r w:rsidRPr="004D3FAB">
        <w:rPr>
          <w:rFonts w:ascii="Cambria" w:eastAsiaTheme="minorHAnsi" w:hAnsi="Cambria" w:cstheme="minorBidi"/>
          <w:color w:val="auto"/>
          <w:sz w:val="22"/>
          <w:szCs w:val="22"/>
        </w:rPr>
        <w:t xml:space="preserve"> Handbook. </w:t>
      </w:r>
    </w:p>
    <w:p w14:paraId="332FFE2D" w14:textId="77777777" w:rsidR="00697CD9" w:rsidRDefault="00697CD9" w:rsidP="00E12002">
      <w:pPr>
        <w:pStyle w:val="Heading2"/>
        <w:spacing w:before="0" w:line="276" w:lineRule="auto"/>
        <w:jc w:val="both"/>
        <w:rPr>
          <w:rFonts w:ascii="Cambria" w:hAnsi="Cambria"/>
          <w:b/>
          <w:caps/>
          <w:color w:val="auto"/>
        </w:rPr>
      </w:pPr>
    </w:p>
    <w:p w14:paraId="5336D486" w14:textId="77777777" w:rsidR="00697CD9" w:rsidRPr="00E12002" w:rsidRDefault="00697CD9" w:rsidP="00E12002">
      <w:pPr>
        <w:pStyle w:val="Heading2"/>
        <w:spacing w:before="0" w:line="276" w:lineRule="auto"/>
        <w:jc w:val="both"/>
        <w:rPr>
          <w:rFonts w:ascii="Cambria" w:hAnsi="Cambria"/>
          <w:b/>
          <w:caps/>
          <w:color w:val="auto"/>
        </w:rPr>
      </w:pPr>
      <w:r w:rsidRPr="00262D03">
        <w:rPr>
          <w:rFonts w:ascii="Cambria" w:hAnsi="Cambria"/>
          <w:b/>
          <w:caps/>
          <w:color w:val="auto"/>
        </w:rPr>
        <w:t xml:space="preserve">RATIONALE </w:t>
      </w:r>
    </w:p>
    <w:p w14:paraId="7983F0CB" w14:textId="77777777" w:rsidR="00697CD9" w:rsidRDefault="00697CD9" w:rsidP="00E12002">
      <w:pPr>
        <w:spacing w:after="0" w:line="276" w:lineRule="auto"/>
        <w:jc w:val="both"/>
        <w:rPr>
          <w:rFonts w:ascii="Cambria" w:hAnsi="Cambria"/>
        </w:rPr>
      </w:pPr>
      <w:r w:rsidRPr="00627C6F">
        <w:rPr>
          <w:rFonts w:ascii="Cambria" w:hAnsi="Cambria"/>
        </w:rPr>
        <w:t>The</w:t>
      </w:r>
      <w:r>
        <w:rPr>
          <w:rFonts w:ascii="Cambria" w:hAnsi="Cambria"/>
        </w:rPr>
        <w:t xml:space="preserve"> redempti</w:t>
      </w:r>
      <w:r w:rsidRPr="00627C6F">
        <w:rPr>
          <w:rFonts w:ascii="Cambria" w:hAnsi="Cambria"/>
        </w:rPr>
        <w:t>on of work</w:t>
      </w:r>
      <w:r>
        <w:rPr>
          <w:rFonts w:ascii="Cambria" w:hAnsi="Cambria"/>
        </w:rPr>
        <w:t xml:space="preserve"> </w:t>
      </w:r>
      <w:r w:rsidRPr="00627C6F">
        <w:rPr>
          <w:rFonts w:ascii="Cambria" w:hAnsi="Cambria"/>
        </w:rPr>
        <w:t xml:space="preserve">is an integral part of the teaching and learning process. At </w:t>
      </w:r>
      <w:r>
        <w:rPr>
          <w:rFonts w:ascii="Cambria" w:hAnsi="Cambria"/>
        </w:rPr>
        <w:t>Emerald</w:t>
      </w:r>
      <w:r w:rsidRPr="00627C6F">
        <w:rPr>
          <w:rFonts w:ascii="Cambria" w:hAnsi="Cambria"/>
        </w:rPr>
        <w:t xml:space="preserve"> Secondary College we have developed a process that is equitable and fair to all students and applied consistently </w:t>
      </w:r>
      <w:r>
        <w:rPr>
          <w:rFonts w:ascii="Cambria" w:hAnsi="Cambria"/>
        </w:rPr>
        <w:t xml:space="preserve">across the College. The redemption of work is crucial to the learning process, it enables both students and staff to identify areas of continual growth and improvement in each learning area. </w:t>
      </w:r>
    </w:p>
    <w:p w14:paraId="55B98CF6" w14:textId="77777777" w:rsidR="00697CD9" w:rsidRDefault="00697CD9" w:rsidP="00E12002">
      <w:pPr>
        <w:spacing w:after="0" w:line="276" w:lineRule="auto"/>
        <w:jc w:val="both"/>
        <w:rPr>
          <w:rFonts w:ascii="Cambria" w:hAnsi="Cambria"/>
        </w:rPr>
      </w:pPr>
    </w:p>
    <w:p w14:paraId="4A61A4E4" w14:textId="77777777" w:rsidR="00697CD9" w:rsidRDefault="00697CD9" w:rsidP="00E12002">
      <w:pPr>
        <w:spacing w:after="0" w:line="276" w:lineRule="auto"/>
        <w:jc w:val="both"/>
        <w:rPr>
          <w:rFonts w:ascii="Cambria" w:hAnsi="Cambria"/>
        </w:rPr>
      </w:pPr>
      <w:r>
        <w:rPr>
          <w:rFonts w:ascii="Cambria" w:hAnsi="Cambria"/>
        </w:rPr>
        <w:t xml:space="preserve">Feedback is an integral part of the learning process, it is essential that students take teacher feedback on board and use this to demonstrate skills and understanding of the Victorian Curriculum standards in order to obtain a satisfactory result. </w:t>
      </w:r>
    </w:p>
    <w:p w14:paraId="1EFF8B68" w14:textId="77777777" w:rsidR="00697CD9" w:rsidRDefault="00697CD9" w:rsidP="00E12002">
      <w:pPr>
        <w:spacing w:after="0" w:line="276" w:lineRule="auto"/>
        <w:jc w:val="both"/>
        <w:rPr>
          <w:rFonts w:ascii="Cambria" w:hAnsi="Cambria"/>
        </w:rPr>
      </w:pPr>
    </w:p>
    <w:p w14:paraId="4C93E0AF" w14:textId="77777777" w:rsidR="00697CD9" w:rsidRPr="00627C6F" w:rsidRDefault="00697CD9" w:rsidP="00E12002">
      <w:pPr>
        <w:spacing w:after="0" w:line="276" w:lineRule="auto"/>
        <w:jc w:val="both"/>
        <w:rPr>
          <w:rFonts w:ascii="Cambria" w:hAnsi="Cambria"/>
          <w:b/>
        </w:rPr>
      </w:pPr>
      <w:r w:rsidRPr="00627C6F">
        <w:rPr>
          <w:rFonts w:ascii="Cambria" w:hAnsi="Cambria"/>
          <w:b/>
        </w:rPr>
        <w:t xml:space="preserve">Aims: </w:t>
      </w:r>
    </w:p>
    <w:p w14:paraId="601F737D" w14:textId="77777777" w:rsidR="00697CD9" w:rsidRDefault="00697CD9" w:rsidP="00E12002">
      <w:pPr>
        <w:pStyle w:val="ListParagraph"/>
        <w:numPr>
          <w:ilvl w:val="0"/>
          <w:numId w:val="2"/>
        </w:numPr>
        <w:spacing w:after="0" w:line="276" w:lineRule="auto"/>
        <w:jc w:val="both"/>
        <w:rPr>
          <w:rFonts w:ascii="Cambria" w:hAnsi="Cambria"/>
        </w:rPr>
      </w:pPr>
      <w:r w:rsidRPr="00627C6F">
        <w:rPr>
          <w:rFonts w:ascii="Cambria" w:hAnsi="Cambria"/>
        </w:rPr>
        <w:t xml:space="preserve">To establish protocols and procedures that defines the process for students to </w:t>
      </w:r>
      <w:r>
        <w:rPr>
          <w:rFonts w:ascii="Cambria" w:hAnsi="Cambria"/>
        </w:rPr>
        <w:t>redeem</w:t>
      </w:r>
      <w:r w:rsidRPr="00627C6F">
        <w:rPr>
          <w:rFonts w:ascii="Cambria" w:hAnsi="Cambria"/>
        </w:rPr>
        <w:t xml:space="preserve"> </w:t>
      </w:r>
      <w:r>
        <w:rPr>
          <w:rFonts w:ascii="Cambria" w:hAnsi="Cambria"/>
        </w:rPr>
        <w:t>an unsatisfactory assessment task.</w:t>
      </w:r>
    </w:p>
    <w:p w14:paraId="319E5B0D" w14:textId="77777777" w:rsidR="00697CD9" w:rsidRDefault="00697CD9" w:rsidP="00E12002">
      <w:pPr>
        <w:pStyle w:val="ListParagraph"/>
        <w:numPr>
          <w:ilvl w:val="0"/>
          <w:numId w:val="2"/>
        </w:numPr>
        <w:spacing w:after="0" w:line="276" w:lineRule="auto"/>
        <w:jc w:val="both"/>
        <w:rPr>
          <w:rFonts w:ascii="Cambria" w:hAnsi="Cambria"/>
        </w:rPr>
      </w:pPr>
      <w:r w:rsidRPr="00697CD9">
        <w:rPr>
          <w:rFonts w:ascii="Cambria" w:hAnsi="Cambria"/>
        </w:rPr>
        <w:t xml:space="preserve">To ensure that students and parents understand the importance of </w:t>
      </w:r>
      <w:r>
        <w:rPr>
          <w:rFonts w:ascii="Cambria" w:hAnsi="Cambria"/>
        </w:rPr>
        <w:t>redeeming</w:t>
      </w:r>
      <w:r w:rsidRPr="00627C6F">
        <w:rPr>
          <w:rFonts w:ascii="Cambria" w:hAnsi="Cambria"/>
        </w:rPr>
        <w:t xml:space="preserve"> </w:t>
      </w:r>
      <w:r>
        <w:rPr>
          <w:rFonts w:ascii="Cambria" w:hAnsi="Cambria"/>
        </w:rPr>
        <w:t>an unsatisfactory assessment task.</w:t>
      </w:r>
    </w:p>
    <w:p w14:paraId="2317D6FE" w14:textId="77777777" w:rsidR="00697CD9" w:rsidRPr="00697CD9" w:rsidRDefault="00697CD9" w:rsidP="00E12002">
      <w:pPr>
        <w:pStyle w:val="ListParagraph"/>
        <w:numPr>
          <w:ilvl w:val="0"/>
          <w:numId w:val="2"/>
        </w:numPr>
        <w:spacing w:after="0" w:line="276" w:lineRule="auto"/>
        <w:jc w:val="both"/>
        <w:rPr>
          <w:rFonts w:ascii="Cambria" w:hAnsi="Cambria"/>
        </w:rPr>
      </w:pPr>
      <w:r w:rsidRPr="00697CD9">
        <w:rPr>
          <w:rFonts w:ascii="Cambria" w:hAnsi="Cambria"/>
        </w:rPr>
        <w:t xml:space="preserve">To provide a structured framework to identify students who require assistance in </w:t>
      </w:r>
      <w:r>
        <w:rPr>
          <w:rFonts w:ascii="Cambria" w:hAnsi="Cambria"/>
        </w:rPr>
        <w:t xml:space="preserve">meeting the requirements of the curriculum. </w:t>
      </w:r>
      <w:r w:rsidRPr="00697CD9">
        <w:rPr>
          <w:rFonts w:ascii="Cambria" w:hAnsi="Cambria"/>
        </w:rPr>
        <w:t xml:space="preserve"> </w:t>
      </w:r>
    </w:p>
    <w:p w14:paraId="649F9CDF" w14:textId="77777777" w:rsidR="00697CD9" w:rsidRDefault="00697CD9" w:rsidP="00E12002">
      <w:pPr>
        <w:spacing w:after="0" w:line="276" w:lineRule="auto"/>
        <w:jc w:val="both"/>
        <w:rPr>
          <w:rFonts w:ascii="Cambria" w:hAnsi="Cambria"/>
        </w:rPr>
      </w:pPr>
    </w:p>
    <w:p w14:paraId="5A52059B" w14:textId="77777777" w:rsidR="00697CD9" w:rsidRPr="00627C6F" w:rsidRDefault="00697CD9" w:rsidP="00E12002">
      <w:pPr>
        <w:spacing w:after="0" w:line="276" w:lineRule="auto"/>
        <w:jc w:val="both"/>
        <w:rPr>
          <w:rFonts w:ascii="Cambria" w:hAnsi="Cambria"/>
          <w:b/>
        </w:rPr>
      </w:pPr>
      <w:r w:rsidRPr="00627C6F">
        <w:rPr>
          <w:rFonts w:ascii="Cambria" w:hAnsi="Cambria"/>
          <w:b/>
        </w:rPr>
        <w:t>Implementation:</w:t>
      </w:r>
    </w:p>
    <w:p w14:paraId="17ADE90C" w14:textId="77777777" w:rsidR="00697CD9" w:rsidRDefault="00697CD9" w:rsidP="00E12002">
      <w:pPr>
        <w:spacing w:after="0" w:line="276" w:lineRule="auto"/>
        <w:jc w:val="both"/>
        <w:rPr>
          <w:rFonts w:ascii="Cambria" w:hAnsi="Cambria"/>
        </w:rPr>
      </w:pPr>
    </w:p>
    <w:p w14:paraId="05D22DC1" w14:textId="77777777" w:rsidR="00697CD9" w:rsidRDefault="00697CD9" w:rsidP="00E12002">
      <w:pPr>
        <w:spacing w:after="0" w:line="276" w:lineRule="auto"/>
        <w:jc w:val="both"/>
        <w:rPr>
          <w:rFonts w:ascii="Cambria" w:hAnsi="Cambria"/>
        </w:rPr>
      </w:pPr>
      <w:r w:rsidRPr="00627C6F">
        <w:rPr>
          <w:rFonts w:ascii="Cambria" w:hAnsi="Cambria"/>
        </w:rPr>
        <w:t xml:space="preserve">Protocols and procedures </w:t>
      </w:r>
    </w:p>
    <w:p w14:paraId="6B320806" w14:textId="77777777" w:rsidR="00697CD9" w:rsidRDefault="00697CD9" w:rsidP="00E12002">
      <w:pPr>
        <w:pStyle w:val="ListParagraph"/>
        <w:numPr>
          <w:ilvl w:val="0"/>
          <w:numId w:val="3"/>
        </w:numPr>
        <w:spacing w:after="0" w:line="276" w:lineRule="auto"/>
        <w:jc w:val="both"/>
        <w:rPr>
          <w:rFonts w:ascii="Cambria" w:hAnsi="Cambria"/>
        </w:rPr>
      </w:pPr>
      <w:r w:rsidRPr="00627C6F">
        <w:rPr>
          <w:rFonts w:ascii="Cambria" w:hAnsi="Cambria"/>
        </w:rPr>
        <w:t xml:space="preserve">The </w:t>
      </w:r>
      <w:r>
        <w:rPr>
          <w:rFonts w:ascii="Cambria" w:hAnsi="Cambria"/>
        </w:rPr>
        <w:t>redemption</w:t>
      </w:r>
      <w:r w:rsidRPr="00627C6F">
        <w:rPr>
          <w:rFonts w:ascii="Cambria" w:hAnsi="Cambria"/>
        </w:rPr>
        <w:t xml:space="preserve"> of assessmen</w:t>
      </w:r>
      <w:r>
        <w:rPr>
          <w:rFonts w:ascii="Cambria" w:hAnsi="Cambria"/>
        </w:rPr>
        <w:t xml:space="preserve">t </w:t>
      </w:r>
      <w:r w:rsidRPr="00627C6F">
        <w:rPr>
          <w:rFonts w:ascii="Cambria" w:hAnsi="Cambria"/>
        </w:rPr>
        <w:t>is the responsibility of the student</w:t>
      </w:r>
      <w:r>
        <w:rPr>
          <w:rFonts w:ascii="Cambria" w:hAnsi="Cambria"/>
        </w:rPr>
        <w:t xml:space="preserve"> in consultation with the subject teacher.</w:t>
      </w:r>
      <w:r w:rsidRPr="00627C6F">
        <w:rPr>
          <w:rFonts w:ascii="Cambria" w:hAnsi="Cambria"/>
        </w:rPr>
        <w:t xml:space="preserve"> </w:t>
      </w:r>
    </w:p>
    <w:p w14:paraId="796AAFE2" w14:textId="77777777" w:rsidR="00697CD9" w:rsidRDefault="00697CD9" w:rsidP="00E12002">
      <w:pPr>
        <w:pStyle w:val="ListParagraph"/>
        <w:numPr>
          <w:ilvl w:val="0"/>
          <w:numId w:val="3"/>
        </w:numPr>
        <w:spacing w:after="0" w:line="276" w:lineRule="auto"/>
        <w:jc w:val="both"/>
        <w:rPr>
          <w:rFonts w:ascii="Cambria" w:hAnsi="Cambria"/>
        </w:rPr>
      </w:pPr>
      <w:r>
        <w:rPr>
          <w:rFonts w:ascii="Cambria" w:hAnsi="Cambria"/>
        </w:rPr>
        <w:t>Redemption task requirements</w:t>
      </w:r>
      <w:r w:rsidRPr="00A471F9">
        <w:rPr>
          <w:rFonts w:ascii="Cambria" w:hAnsi="Cambria"/>
        </w:rPr>
        <w:t xml:space="preserve"> will be clearly communicated to students via Learning Tasks</w:t>
      </w:r>
      <w:r>
        <w:rPr>
          <w:rFonts w:ascii="Cambria" w:hAnsi="Cambria"/>
        </w:rPr>
        <w:t xml:space="preserve">, Compass </w:t>
      </w:r>
      <w:r w:rsidRPr="00A471F9">
        <w:rPr>
          <w:rFonts w:ascii="Cambria" w:hAnsi="Cambria"/>
        </w:rPr>
        <w:t>and/or information distributed by the teacher</w:t>
      </w:r>
    </w:p>
    <w:p w14:paraId="0CEA6BEA" w14:textId="77777777" w:rsidR="00697CD9" w:rsidRPr="00A471F9" w:rsidRDefault="00697CD9" w:rsidP="00E12002">
      <w:pPr>
        <w:pStyle w:val="ListParagraph"/>
        <w:numPr>
          <w:ilvl w:val="0"/>
          <w:numId w:val="3"/>
        </w:numPr>
        <w:spacing w:after="0" w:line="276" w:lineRule="auto"/>
        <w:jc w:val="both"/>
        <w:rPr>
          <w:rFonts w:ascii="Cambria" w:hAnsi="Cambria"/>
        </w:rPr>
      </w:pPr>
      <w:r w:rsidRPr="00A471F9">
        <w:rPr>
          <w:rFonts w:ascii="Cambria" w:hAnsi="Cambria"/>
        </w:rPr>
        <w:t xml:space="preserve">All </w:t>
      </w:r>
      <w:r>
        <w:rPr>
          <w:rFonts w:ascii="Cambria" w:hAnsi="Cambria"/>
        </w:rPr>
        <w:t>redemption</w:t>
      </w:r>
      <w:r w:rsidRPr="00A471F9">
        <w:rPr>
          <w:rFonts w:ascii="Cambria" w:hAnsi="Cambria"/>
        </w:rPr>
        <w:t xml:space="preserve"> material must be the student’s own work. Plagiarism and copying of other students’ work may result in sanctions. </w:t>
      </w:r>
    </w:p>
    <w:p w14:paraId="183A9866" w14:textId="77777777" w:rsidR="00697CD9" w:rsidRDefault="00697CD9" w:rsidP="00E12002">
      <w:pPr>
        <w:pStyle w:val="ListParagraph"/>
        <w:numPr>
          <w:ilvl w:val="0"/>
          <w:numId w:val="3"/>
        </w:numPr>
        <w:spacing w:after="0" w:line="276" w:lineRule="auto"/>
        <w:jc w:val="both"/>
        <w:rPr>
          <w:rFonts w:ascii="Cambria" w:hAnsi="Cambria"/>
        </w:rPr>
      </w:pPr>
      <w:r w:rsidRPr="00627C6F">
        <w:rPr>
          <w:rFonts w:ascii="Cambria" w:hAnsi="Cambria"/>
        </w:rPr>
        <w:t xml:space="preserve">If the is </w:t>
      </w:r>
      <w:r>
        <w:rPr>
          <w:rFonts w:ascii="Cambria" w:hAnsi="Cambria"/>
        </w:rPr>
        <w:t xml:space="preserve">redemption task is </w:t>
      </w:r>
      <w:r w:rsidRPr="00627C6F">
        <w:rPr>
          <w:rFonts w:ascii="Cambria" w:hAnsi="Cambria"/>
        </w:rPr>
        <w:t xml:space="preserve">handwritten, it must be legible and presented neatly with name of student, date and teacher written on the submission. </w:t>
      </w:r>
    </w:p>
    <w:p w14:paraId="1AF530DD" w14:textId="77777777" w:rsidR="00697CD9" w:rsidRPr="00A471F9" w:rsidRDefault="00697CD9" w:rsidP="00E12002">
      <w:pPr>
        <w:pStyle w:val="ListParagraph"/>
        <w:numPr>
          <w:ilvl w:val="0"/>
          <w:numId w:val="3"/>
        </w:numPr>
        <w:spacing w:after="0" w:line="276" w:lineRule="auto"/>
        <w:jc w:val="both"/>
        <w:rPr>
          <w:rFonts w:ascii="Cambria" w:hAnsi="Cambria"/>
        </w:rPr>
      </w:pPr>
      <w:r w:rsidRPr="00A471F9">
        <w:rPr>
          <w:rFonts w:ascii="Cambria" w:hAnsi="Cambria"/>
        </w:rPr>
        <w:lastRenderedPageBreak/>
        <w:t xml:space="preserve">Extensions will only be given by the teacher in respect of illness, medical condition, school approved absence or in exceptional circumstances. Students are advised that commitments outside of school are not sufficient reasons for an extension. </w:t>
      </w:r>
    </w:p>
    <w:p w14:paraId="4B603D6A" w14:textId="77777777" w:rsidR="00697CD9" w:rsidRDefault="00697CD9" w:rsidP="00E12002">
      <w:pPr>
        <w:spacing w:after="0" w:line="276" w:lineRule="auto"/>
        <w:ind w:left="360"/>
        <w:jc w:val="both"/>
        <w:rPr>
          <w:rFonts w:ascii="Cambria" w:hAnsi="Cambria"/>
        </w:rPr>
      </w:pPr>
    </w:p>
    <w:p w14:paraId="4620EF03" w14:textId="77777777" w:rsidR="00697CD9" w:rsidRDefault="00697CD9" w:rsidP="00E12002">
      <w:pPr>
        <w:spacing w:after="0" w:line="276" w:lineRule="auto"/>
        <w:ind w:left="360"/>
        <w:jc w:val="both"/>
        <w:rPr>
          <w:rFonts w:ascii="Cambria" w:hAnsi="Cambria"/>
          <w:b/>
        </w:rPr>
      </w:pPr>
      <w:r>
        <w:rPr>
          <w:rFonts w:ascii="Cambria" w:hAnsi="Cambria"/>
          <w:b/>
        </w:rPr>
        <w:t>Redemption Process</w:t>
      </w:r>
    </w:p>
    <w:p w14:paraId="787E2851" w14:textId="77777777" w:rsidR="00697CD9" w:rsidRPr="00A471F9" w:rsidRDefault="00697CD9" w:rsidP="00E12002">
      <w:pPr>
        <w:spacing w:after="0" w:line="276" w:lineRule="auto"/>
        <w:ind w:left="360"/>
        <w:jc w:val="both"/>
        <w:rPr>
          <w:rFonts w:ascii="Cambria" w:hAnsi="Cambria"/>
          <w:b/>
        </w:rPr>
      </w:pPr>
    </w:p>
    <w:p w14:paraId="1ADDB0A7" w14:textId="77777777" w:rsidR="00697CD9" w:rsidRDefault="00697CD9" w:rsidP="00E12002">
      <w:pPr>
        <w:spacing w:after="0" w:line="276" w:lineRule="auto"/>
        <w:ind w:left="360"/>
        <w:jc w:val="both"/>
        <w:rPr>
          <w:rFonts w:ascii="Cambria" w:hAnsi="Cambria"/>
        </w:rPr>
      </w:pPr>
      <w:r w:rsidRPr="00A471F9">
        <w:rPr>
          <w:rFonts w:ascii="Cambria" w:hAnsi="Cambria"/>
        </w:rPr>
        <w:t xml:space="preserve">In cases where students do not meet the </w:t>
      </w:r>
      <w:r>
        <w:rPr>
          <w:rFonts w:ascii="Cambria" w:hAnsi="Cambria"/>
        </w:rPr>
        <w:t>requirements of assessment</w:t>
      </w:r>
      <w:r w:rsidRPr="00A471F9">
        <w:rPr>
          <w:rFonts w:ascii="Cambria" w:hAnsi="Cambria"/>
        </w:rPr>
        <w:t xml:space="preserve">, the following steps will be taken in order for the </w:t>
      </w:r>
      <w:r>
        <w:rPr>
          <w:rFonts w:ascii="Cambria" w:hAnsi="Cambria"/>
        </w:rPr>
        <w:t>redemption</w:t>
      </w:r>
      <w:r w:rsidRPr="00A471F9">
        <w:rPr>
          <w:rFonts w:ascii="Cambria" w:hAnsi="Cambria"/>
        </w:rPr>
        <w:t xml:space="preserve"> to take place:  </w:t>
      </w:r>
    </w:p>
    <w:p w14:paraId="45CEA8A5" w14:textId="77777777" w:rsidR="00697CD9" w:rsidRDefault="00697CD9" w:rsidP="00E12002">
      <w:pPr>
        <w:spacing w:after="0" w:line="276" w:lineRule="auto"/>
        <w:ind w:left="360"/>
        <w:jc w:val="both"/>
        <w:rPr>
          <w:rFonts w:ascii="Cambria" w:hAnsi="Cambria"/>
        </w:rPr>
      </w:pPr>
    </w:p>
    <w:tbl>
      <w:tblPr>
        <w:tblStyle w:val="TableGrid"/>
        <w:tblW w:w="0" w:type="auto"/>
        <w:tblInd w:w="360" w:type="dxa"/>
        <w:tblLook w:val="04A0" w:firstRow="1" w:lastRow="0" w:firstColumn="1" w:lastColumn="0" w:noHBand="0" w:noVBand="1"/>
      </w:tblPr>
      <w:tblGrid>
        <w:gridCol w:w="1478"/>
        <w:gridCol w:w="4111"/>
        <w:gridCol w:w="3969"/>
      </w:tblGrid>
      <w:tr w:rsidR="00697CD9" w14:paraId="0F114687" w14:textId="77777777" w:rsidTr="002C235E">
        <w:tc>
          <w:tcPr>
            <w:tcW w:w="1478" w:type="dxa"/>
          </w:tcPr>
          <w:p w14:paraId="2428A1B4" w14:textId="77777777" w:rsidR="00697CD9" w:rsidRPr="00A471F9" w:rsidRDefault="00697CD9" w:rsidP="00E12002">
            <w:pPr>
              <w:spacing w:line="276" w:lineRule="auto"/>
              <w:jc w:val="both"/>
              <w:rPr>
                <w:rFonts w:ascii="Cambria" w:hAnsi="Cambria"/>
                <w:b/>
              </w:rPr>
            </w:pPr>
            <w:r w:rsidRPr="00A471F9">
              <w:rPr>
                <w:rFonts w:ascii="Cambria" w:hAnsi="Cambria"/>
                <w:b/>
              </w:rPr>
              <w:t>Work Item</w:t>
            </w:r>
          </w:p>
        </w:tc>
        <w:tc>
          <w:tcPr>
            <w:tcW w:w="4111" w:type="dxa"/>
          </w:tcPr>
          <w:p w14:paraId="45D02F1C" w14:textId="77777777" w:rsidR="00697CD9" w:rsidRPr="00A471F9" w:rsidRDefault="00697CD9" w:rsidP="00E12002">
            <w:pPr>
              <w:spacing w:line="276" w:lineRule="auto"/>
              <w:jc w:val="both"/>
              <w:rPr>
                <w:rFonts w:ascii="Cambria" w:hAnsi="Cambria"/>
                <w:b/>
              </w:rPr>
            </w:pPr>
            <w:r w:rsidRPr="00A471F9">
              <w:rPr>
                <w:rFonts w:ascii="Cambria" w:hAnsi="Cambria"/>
                <w:b/>
              </w:rPr>
              <w:t>Action</w:t>
            </w:r>
          </w:p>
        </w:tc>
        <w:tc>
          <w:tcPr>
            <w:tcW w:w="3969" w:type="dxa"/>
          </w:tcPr>
          <w:p w14:paraId="5EAC3244" w14:textId="77777777" w:rsidR="00697CD9" w:rsidRPr="00A471F9" w:rsidRDefault="00697CD9" w:rsidP="00E12002">
            <w:pPr>
              <w:spacing w:line="276" w:lineRule="auto"/>
              <w:jc w:val="both"/>
              <w:rPr>
                <w:rFonts w:ascii="Cambria" w:hAnsi="Cambria"/>
                <w:b/>
              </w:rPr>
            </w:pPr>
            <w:r>
              <w:rPr>
                <w:rFonts w:ascii="Cambria" w:hAnsi="Cambria"/>
                <w:b/>
              </w:rPr>
              <w:t>Outcome</w:t>
            </w:r>
          </w:p>
        </w:tc>
      </w:tr>
      <w:tr w:rsidR="00697CD9" w14:paraId="7E445498" w14:textId="77777777" w:rsidTr="002C235E">
        <w:tc>
          <w:tcPr>
            <w:tcW w:w="1478" w:type="dxa"/>
          </w:tcPr>
          <w:p w14:paraId="24CB6B22" w14:textId="77777777" w:rsidR="00697CD9" w:rsidRDefault="00697CD9" w:rsidP="00E12002">
            <w:pPr>
              <w:spacing w:line="276" w:lineRule="auto"/>
              <w:jc w:val="both"/>
              <w:rPr>
                <w:rFonts w:ascii="Cambria" w:hAnsi="Cambria"/>
              </w:rPr>
            </w:pPr>
            <w:r>
              <w:rPr>
                <w:rFonts w:ascii="Cambria" w:hAnsi="Cambria"/>
              </w:rPr>
              <w:t>Common Assessment Task (CAT)</w:t>
            </w:r>
          </w:p>
        </w:tc>
        <w:tc>
          <w:tcPr>
            <w:tcW w:w="4111" w:type="dxa"/>
          </w:tcPr>
          <w:p w14:paraId="2AD9B2C5" w14:textId="77777777" w:rsidR="00697CD9" w:rsidRDefault="00697CD9" w:rsidP="00E12002">
            <w:pPr>
              <w:pStyle w:val="ListParagraph"/>
              <w:numPr>
                <w:ilvl w:val="0"/>
                <w:numId w:val="5"/>
              </w:numPr>
              <w:spacing w:line="276" w:lineRule="auto"/>
              <w:jc w:val="both"/>
              <w:rPr>
                <w:rFonts w:ascii="Cambria" w:hAnsi="Cambria"/>
              </w:rPr>
            </w:pPr>
            <w:r>
              <w:rPr>
                <w:rFonts w:ascii="Cambria" w:hAnsi="Cambria"/>
              </w:rPr>
              <w:t>Parents/carers/kin are advised via Compass Learning Tasks of the task and due date.</w:t>
            </w:r>
          </w:p>
          <w:p w14:paraId="7CAC0AFA" w14:textId="77777777" w:rsidR="00697CD9" w:rsidRDefault="00697CD9" w:rsidP="00E12002">
            <w:pPr>
              <w:pStyle w:val="ListParagraph"/>
              <w:numPr>
                <w:ilvl w:val="0"/>
                <w:numId w:val="5"/>
              </w:numPr>
              <w:spacing w:line="276" w:lineRule="auto"/>
              <w:jc w:val="both"/>
              <w:rPr>
                <w:rFonts w:ascii="Cambria" w:hAnsi="Cambria"/>
              </w:rPr>
            </w:pPr>
            <w:r>
              <w:rPr>
                <w:rFonts w:ascii="Cambria" w:hAnsi="Cambria"/>
              </w:rPr>
              <w:t xml:space="preserve">Parents/carers/kin will be notified by the subject teacher if a student has not met the requirements of the assessment. </w:t>
            </w:r>
          </w:p>
          <w:p w14:paraId="6F2E09BC" w14:textId="77777777" w:rsidR="00697CD9" w:rsidRDefault="00724412" w:rsidP="00E12002">
            <w:pPr>
              <w:pStyle w:val="ListParagraph"/>
              <w:numPr>
                <w:ilvl w:val="0"/>
                <w:numId w:val="5"/>
              </w:numPr>
              <w:spacing w:line="276" w:lineRule="auto"/>
              <w:jc w:val="both"/>
              <w:rPr>
                <w:rFonts w:ascii="Cambria" w:hAnsi="Cambria"/>
              </w:rPr>
            </w:pPr>
            <w:r>
              <w:rPr>
                <w:rFonts w:ascii="Cambria" w:hAnsi="Cambria"/>
              </w:rPr>
              <w:t>Th</w:t>
            </w:r>
            <w:r w:rsidR="00697CD9">
              <w:rPr>
                <w:rFonts w:ascii="Cambria" w:hAnsi="Cambria"/>
              </w:rPr>
              <w:t xml:space="preserve">e student will be required to submit a redemption task to demonstrate Victorian Curriculum Achievement Standards. </w:t>
            </w:r>
          </w:p>
          <w:p w14:paraId="5438674F" w14:textId="77777777" w:rsidR="00697CD9" w:rsidRPr="000A403A" w:rsidRDefault="00697CD9" w:rsidP="00E12002">
            <w:pPr>
              <w:pStyle w:val="ListParagraph"/>
              <w:numPr>
                <w:ilvl w:val="0"/>
                <w:numId w:val="5"/>
              </w:numPr>
              <w:spacing w:line="276" w:lineRule="auto"/>
              <w:jc w:val="both"/>
              <w:rPr>
                <w:rFonts w:ascii="Cambria" w:hAnsi="Cambria"/>
              </w:rPr>
            </w:pPr>
            <w:r>
              <w:rPr>
                <w:rFonts w:ascii="Cambria" w:hAnsi="Cambria"/>
              </w:rPr>
              <w:t xml:space="preserve">Students are required to submit their redemptions within a </w:t>
            </w:r>
            <w:proofErr w:type="gramStart"/>
            <w:r>
              <w:rPr>
                <w:rFonts w:ascii="Cambria" w:hAnsi="Cambria"/>
              </w:rPr>
              <w:t>2 week</w:t>
            </w:r>
            <w:proofErr w:type="gramEnd"/>
            <w:r>
              <w:rPr>
                <w:rFonts w:ascii="Cambria" w:hAnsi="Cambria"/>
              </w:rPr>
              <w:t xml:space="preserve"> time period from the initial conversation with their subject teacher. </w:t>
            </w:r>
          </w:p>
        </w:tc>
        <w:tc>
          <w:tcPr>
            <w:tcW w:w="3969" w:type="dxa"/>
          </w:tcPr>
          <w:p w14:paraId="12E01ED7" w14:textId="77777777" w:rsidR="00697CD9" w:rsidRDefault="00697CD9" w:rsidP="00E12002">
            <w:pPr>
              <w:pStyle w:val="ListParagraph"/>
              <w:numPr>
                <w:ilvl w:val="0"/>
                <w:numId w:val="5"/>
              </w:numPr>
              <w:spacing w:line="276" w:lineRule="auto"/>
              <w:jc w:val="both"/>
              <w:rPr>
                <w:rFonts w:ascii="Cambria" w:hAnsi="Cambria"/>
              </w:rPr>
            </w:pPr>
            <w:r>
              <w:rPr>
                <w:rFonts w:ascii="Cambria" w:hAnsi="Cambria"/>
              </w:rPr>
              <w:t>Student will complete the required redemption task in consultation with their subject teacher.</w:t>
            </w:r>
          </w:p>
          <w:p w14:paraId="3B0BC91D" w14:textId="77777777" w:rsidR="00697CD9" w:rsidRDefault="00697CD9" w:rsidP="00E12002">
            <w:pPr>
              <w:pStyle w:val="ListParagraph"/>
              <w:numPr>
                <w:ilvl w:val="0"/>
                <w:numId w:val="5"/>
              </w:numPr>
              <w:spacing w:line="276" w:lineRule="auto"/>
              <w:jc w:val="both"/>
              <w:rPr>
                <w:rFonts w:ascii="Cambria" w:hAnsi="Cambria"/>
              </w:rPr>
            </w:pPr>
            <w:r>
              <w:rPr>
                <w:rFonts w:ascii="Cambria" w:hAnsi="Cambria"/>
              </w:rPr>
              <w:t>Student will receive Satisfactorily Redeemed on their Learning Task if they have met the requirements of their redemption task.</w:t>
            </w:r>
          </w:p>
          <w:p w14:paraId="4E2F416A" w14:textId="77777777" w:rsidR="00697CD9" w:rsidRDefault="00697CD9" w:rsidP="00E12002">
            <w:pPr>
              <w:pStyle w:val="ListParagraph"/>
              <w:numPr>
                <w:ilvl w:val="0"/>
                <w:numId w:val="5"/>
              </w:numPr>
              <w:spacing w:line="276" w:lineRule="auto"/>
              <w:jc w:val="both"/>
              <w:rPr>
                <w:rFonts w:ascii="Cambria" w:hAnsi="Cambria"/>
              </w:rPr>
            </w:pPr>
            <w:r>
              <w:rPr>
                <w:rFonts w:ascii="Cambria" w:hAnsi="Cambria"/>
              </w:rPr>
              <w:t xml:space="preserve">In the case of non-submission </w:t>
            </w:r>
            <w:r w:rsidR="00724412">
              <w:rPr>
                <w:rFonts w:ascii="Cambria" w:hAnsi="Cambria"/>
              </w:rPr>
              <w:t xml:space="preserve">or unsatisfactory result </w:t>
            </w:r>
            <w:r>
              <w:rPr>
                <w:rFonts w:ascii="Cambria" w:hAnsi="Cambria"/>
              </w:rPr>
              <w:t>of the redemption task,</w:t>
            </w:r>
            <w:r w:rsidR="00E12002">
              <w:rPr>
                <w:rFonts w:ascii="Cambria" w:hAnsi="Cambria"/>
              </w:rPr>
              <w:t xml:space="preserve"> parents/carers/kin will be informed and</w:t>
            </w:r>
            <w:r>
              <w:rPr>
                <w:rFonts w:ascii="Cambria" w:hAnsi="Cambria"/>
              </w:rPr>
              <w:t xml:space="preserve"> the student will receive an N for the task.</w:t>
            </w:r>
          </w:p>
          <w:p w14:paraId="05ED5E39" w14:textId="77777777" w:rsidR="00E12002" w:rsidRPr="00F52280" w:rsidRDefault="00E12002" w:rsidP="00E12002">
            <w:pPr>
              <w:pStyle w:val="ListParagraph"/>
              <w:numPr>
                <w:ilvl w:val="0"/>
                <w:numId w:val="5"/>
              </w:numPr>
              <w:spacing w:line="276" w:lineRule="auto"/>
              <w:jc w:val="both"/>
              <w:rPr>
                <w:rFonts w:ascii="Cambria" w:hAnsi="Cambria"/>
              </w:rPr>
            </w:pPr>
            <w:r>
              <w:rPr>
                <w:rFonts w:ascii="Cambria" w:hAnsi="Cambria"/>
              </w:rPr>
              <w:t xml:space="preserve">Sub-school monitoring for progress and follow up will occur. </w:t>
            </w:r>
            <w:r w:rsidRPr="00F52280">
              <w:rPr>
                <w:rFonts w:ascii="Cambria" w:hAnsi="Cambria"/>
              </w:rPr>
              <w:t xml:space="preserve">  </w:t>
            </w:r>
          </w:p>
        </w:tc>
      </w:tr>
    </w:tbl>
    <w:p w14:paraId="1E6E4BA6" w14:textId="77777777" w:rsidR="00697CD9" w:rsidRDefault="00697CD9" w:rsidP="00E12002">
      <w:pPr>
        <w:spacing w:after="0" w:line="276" w:lineRule="auto"/>
        <w:ind w:left="360"/>
        <w:jc w:val="both"/>
        <w:rPr>
          <w:rFonts w:ascii="Cambria" w:hAnsi="Cambria"/>
        </w:rPr>
      </w:pPr>
    </w:p>
    <w:p w14:paraId="0858DFAC" w14:textId="77777777" w:rsidR="00697CD9" w:rsidRPr="00A471F9" w:rsidRDefault="00697CD9" w:rsidP="00E12002">
      <w:pPr>
        <w:spacing w:after="0" w:line="276" w:lineRule="auto"/>
        <w:ind w:left="360"/>
        <w:jc w:val="both"/>
        <w:rPr>
          <w:rFonts w:ascii="Cambria" w:hAnsi="Cambria"/>
        </w:rPr>
      </w:pPr>
    </w:p>
    <w:p w14:paraId="54897E15" w14:textId="77777777" w:rsidR="00697CD9" w:rsidRPr="00724412" w:rsidRDefault="00697CD9" w:rsidP="00E12002">
      <w:pPr>
        <w:spacing w:after="0" w:line="276" w:lineRule="auto"/>
        <w:jc w:val="both"/>
        <w:rPr>
          <w:rFonts w:ascii="Cambria" w:hAnsi="Cambria"/>
        </w:rPr>
      </w:pPr>
      <w:r w:rsidRPr="00724412">
        <w:rPr>
          <w:rFonts w:ascii="Cambria" w:hAnsi="Cambria"/>
        </w:rPr>
        <w:t xml:space="preserve">Learning Engagement Leaders will be made aware of </w:t>
      </w:r>
      <w:r w:rsidR="00724412" w:rsidRPr="00724412">
        <w:rPr>
          <w:rFonts w:ascii="Cambria" w:hAnsi="Cambria"/>
        </w:rPr>
        <w:t xml:space="preserve"> the need for redemption via </w:t>
      </w:r>
      <w:r w:rsidRPr="00724412">
        <w:rPr>
          <w:rFonts w:ascii="Cambria" w:hAnsi="Cambria"/>
        </w:rPr>
        <w:t xml:space="preserve">the Compass entry for future follow-up if deemed necessary. </w:t>
      </w:r>
    </w:p>
    <w:p w14:paraId="39B6D91A" w14:textId="77777777" w:rsidR="00697CD9" w:rsidRPr="00262D03" w:rsidRDefault="00697CD9" w:rsidP="00E12002">
      <w:pPr>
        <w:spacing w:after="0" w:line="276" w:lineRule="auto"/>
        <w:jc w:val="both"/>
        <w:rPr>
          <w:rFonts w:ascii="Cambria" w:hAnsi="Cambria" w:cstheme="minorHAnsi"/>
          <w:b/>
          <w:bCs/>
        </w:rPr>
      </w:pPr>
    </w:p>
    <w:p w14:paraId="36B37C62" w14:textId="77777777" w:rsidR="00697CD9" w:rsidRPr="00262D03" w:rsidRDefault="00697CD9" w:rsidP="00E12002">
      <w:pPr>
        <w:tabs>
          <w:tab w:val="num" w:pos="170"/>
        </w:tabs>
        <w:spacing w:after="180" w:line="276" w:lineRule="auto"/>
        <w:jc w:val="both"/>
        <w:rPr>
          <w:rFonts w:ascii="Cambria" w:hAnsi="Cambria" w:cstheme="majorHAnsi"/>
          <w:b/>
          <w:bCs/>
          <w:sz w:val="27"/>
          <w:szCs w:val="27"/>
        </w:rPr>
      </w:pPr>
      <w:bookmarkStart w:id="0" w:name="_Hlk72150710"/>
      <w:r w:rsidRPr="00262D03">
        <w:rPr>
          <w:rFonts w:ascii="Cambria" w:hAnsi="Cambria" w:cstheme="majorHAnsi"/>
          <w:b/>
          <w:bCs/>
          <w:sz w:val="27"/>
          <w:szCs w:val="27"/>
        </w:rPr>
        <w:t>COMMUNICATION</w:t>
      </w:r>
    </w:p>
    <w:bookmarkEnd w:id="0"/>
    <w:p w14:paraId="1EB78F73" w14:textId="77777777" w:rsidR="00697CD9" w:rsidRPr="00262D03" w:rsidRDefault="00697CD9" w:rsidP="00E12002">
      <w:pPr>
        <w:spacing w:line="276" w:lineRule="auto"/>
        <w:rPr>
          <w:rFonts w:ascii="Cambria" w:hAnsi="Cambria"/>
        </w:rPr>
      </w:pPr>
      <w:r w:rsidRPr="00262D03">
        <w:rPr>
          <w:rFonts w:ascii="Cambria" w:hAnsi="Cambria"/>
        </w:rPr>
        <w:t xml:space="preserve">This policy will be communicated to our school community in the following ways: </w:t>
      </w:r>
    </w:p>
    <w:p w14:paraId="0306EC13" w14:textId="77777777" w:rsidR="00697CD9" w:rsidRPr="00262D03" w:rsidRDefault="00697CD9" w:rsidP="00E12002">
      <w:pPr>
        <w:pStyle w:val="ListParagraph"/>
        <w:numPr>
          <w:ilvl w:val="0"/>
          <w:numId w:val="1"/>
        </w:numPr>
        <w:spacing w:after="180" w:line="276" w:lineRule="auto"/>
        <w:jc w:val="both"/>
        <w:rPr>
          <w:rFonts w:ascii="Cambria" w:hAnsi="Cambria"/>
        </w:rPr>
      </w:pPr>
      <w:r w:rsidRPr="00262D03">
        <w:rPr>
          <w:rFonts w:ascii="Cambria" w:hAnsi="Cambria"/>
        </w:rPr>
        <w:t>Included in staff induction processes and staff training</w:t>
      </w:r>
    </w:p>
    <w:p w14:paraId="3B9B3858" w14:textId="77777777" w:rsidR="00697CD9" w:rsidRPr="00262D03" w:rsidRDefault="00697CD9" w:rsidP="00E12002">
      <w:pPr>
        <w:pStyle w:val="ListParagraph"/>
        <w:numPr>
          <w:ilvl w:val="0"/>
          <w:numId w:val="1"/>
        </w:numPr>
        <w:spacing w:after="180" w:line="276" w:lineRule="auto"/>
        <w:jc w:val="both"/>
        <w:rPr>
          <w:rFonts w:ascii="Cambria" w:hAnsi="Cambria"/>
        </w:rPr>
      </w:pPr>
      <w:r w:rsidRPr="00262D03">
        <w:rPr>
          <w:rFonts w:ascii="Cambria" w:hAnsi="Cambria"/>
        </w:rPr>
        <w:t xml:space="preserve">Available publicly on our school’s website </w:t>
      </w:r>
    </w:p>
    <w:p w14:paraId="4CCD5E96" w14:textId="77777777" w:rsidR="00697CD9" w:rsidRPr="00262D03" w:rsidRDefault="00697CD9" w:rsidP="00E12002">
      <w:pPr>
        <w:pStyle w:val="ListParagraph"/>
        <w:numPr>
          <w:ilvl w:val="0"/>
          <w:numId w:val="1"/>
        </w:numPr>
        <w:spacing w:after="180" w:line="276" w:lineRule="auto"/>
        <w:jc w:val="both"/>
        <w:rPr>
          <w:rFonts w:ascii="Cambria" w:hAnsi="Cambria"/>
        </w:rPr>
      </w:pPr>
      <w:r w:rsidRPr="00262D03">
        <w:rPr>
          <w:rFonts w:ascii="Cambria" w:hAnsi="Cambria"/>
        </w:rPr>
        <w:t>Included in staff handbook/manual</w:t>
      </w:r>
    </w:p>
    <w:p w14:paraId="7DB2906E" w14:textId="77777777" w:rsidR="00697CD9" w:rsidRPr="00262D03" w:rsidRDefault="00697CD9" w:rsidP="00E12002">
      <w:pPr>
        <w:pStyle w:val="ListParagraph"/>
        <w:numPr>
          <w:ilvl w:val="0"/>
          <w:numId w:val="1"/>
        </w:numPr>
        <w:spacing w:line="276" w:lineRule="auto"/>
        <w:jc w:val="both"/>
        <w:rPr>
          <w:rFonts w:ascii="Cambria" w:eastAsiaTheme="minorEastAsia" w:hAnsi="Cambria"/>
        </w:rPr>
      </w:pPr>
      <w:r w:rsidRPr="00262D03">
        <w:rPr>
          <w:rFonts w:ascii="Cambria" w:eastAsia="Calibri" w:hAnsi="Cambria" w:cs="Calibri"/>
        </w:rPr>
        <w:t xml:space="preserve">Reminders in our school newsletter </w:t>
      </w:r>
    </w:p>
    <w:p w14:paraId="465BDA66" w14:textId="77777777" w:rsidR="00697CD9" w:rsidRPr="00262D03" w:rsidRDefault="00697CD9" w:rsidP="00E12002">
      <w:pPr>
        <w:pStyle w:val="ListParagraph"/>
        <w:numPr>
          <w:ilvl w:val="0"/>
          <w:numId w:val="1"/>
        </w:numPr>
        <w:spacing w:after="180" w:line="276" w:lineRule="auto"/>
        <w:jc w:val="both"/>
        <w:rPr>
          <w:rFonts w:ascii="Cambria" w:hAnsi="Cambria"/>
        </w:rPr>
      </w:pPr>
      <w:r w:rsidRPr="00262D03">
        <w:rPr>
          <w:rFonts w:ascii="Cambria" w:hAnsi="Cambria"/>
        </w:rPr>
        <w:t xml:space="preserve">Discussed at annual staff briefings/meetings </w:t>
      </w:r>
    </w:p>
    <w:p w14:paraId="4CD6606F" w14:textId="77777777" w:rsidR="00697CD9" w:rsidRPr="00262D03" w:rsidRDefault="00697CD9" w:rsidP="00E12002">
      <w:pPr>
        <w:pStyle w:val="ListParagraph"/>
        <w:numPr>
          <w:ilvl w:val="0"/>
          <w:numId w:val="1"/>
        </w:numPr>
        <w:spacing w:after="180" w:line="276" w:lineRule="auto"/>
        <w:jc w:val="both"/>
        <w:rPr>
          <w:rFonts w:ascii="Cambria" w:hAnsi="Cambria"/>
        </w:rPr>
      </w:pPr>
      <w:r w:rsidRPr="00262D03">
        <w:rPr>
          <w:rFonts w:ascii="Cambria" w:hAnsi="Cambria"/>
        </w:rPr>
        <w:t>Included in transition and enrolment packs</w:t>
      </w:r>
    </w:p>
    <w:p w14:paraId="573E52F2" w14:textId="77777777" w:rsidR="00697CD9" w:rsidRPr="00262D03" w:rsidRDefault="00697CD9" w:rsidP="00E12002">
      <w:pPr>
        <w:pStyle w:val="ListParagraph"/>
        <w:numPr>
          <w:ilvl w:val="0"/>
          <w:numId w:val="1"/>
        </w:numPr>
        <w:spacing w:line="276" w:lineRule="auto"/>
        <w:jc w:val="both"/>
        <w:rPr>
          <w:rFonts w:ascii="Cambria" w:eastAsiaTheme="minorEastAsia" w:hAnsi="Cambria"/>
        </w:rPr>
      </w:pPr>
      <w:r w:rsidRPr="00262D03">
        <w:rPr>
          <w:rFonts w:ascii="Cambria" w:eastAsiaTheme="minorEastAsia" w:hAnsi="Cambria"/>
        </w:rPr>
        <w:t>Discussed at parent information nights/sessions</w:t>
      </w:r>
    </w:p>
    <w:p w14:paraId="0D00F8D7" w14:textId="77777777" w:rsidR="00697CD9" w:rsidRPr="00262D03" w:rsidRDefault="00697CD9" w:rsidP="00E12002">
      <w:pPr>
        <w:pStyle w:val="ListParagraph"/>
        <w:numPr>
          <w:ilvl w:val="0"/>
          <w:numId w:val="1"/>
        </w:numPr>
        <w:spacing w:line="276" w:lineRule="auto"/>
        <w:jc w:val="both"/>
        <w:rPr>
          <w:rFonts w:ascii="Cambria" w:eastAsiaTheme="minorEastAsia" w:hAnsi="Cambria"/>
        </w:rPr>
      </w:pPr>
      <w:r w:rsidRPr="00262D03">
        <w:rPr>
          <w:rFonts w:ascii="Cambria" w:eastAsiaTheme="minorEastAsia" w:hAnsi="Cambria"/>
        </w:rPr>
        <w:t>Discussed at student forums</w:t>
      </w:r>
    </w:p>
    <w:p w14:paraId="79570B4C" w14:textId="77777777" w:rsidR="00697CD9" w:rsidRPr="00262D03" w:rsidRDefault="00697CD9" w:rsidP="00E12002">
      <w:pPr>
        <w:pStyle w:val="ListParagraph"/>
        <w:numPr>
          <w:ilvl w:val="0"/>
          <w:numId w:val="1"/>
        </w:numPr>
        <w:spacing w:line="276" w:lineRule="auto"/>
        <w:jc w:val="both"/>
        <w:rPr>
          <w:rFonts w:ascii="Cambria" w:eastAsiaTheme="minorEastAsia" w:hAnsi="Cambria"/>
        </w:rPr>
      </w:pPr>
      <w:r w:rsidRPr="00262D03">
        <w:rPr>
          <w:rFonts w:ascii="Cambria" w:eastAsiaTheme="minorEastAsia" w:hAnsi="Cambria"/>
        </w:rPr>
        <w:t xml:space="preserve">Hard copy available from school administration upon request </w:t>
      </w:r>
    </w:p>
    <w:p w14:paraId="1B594F7C" w14:textId="77777777" w:rsidR="00697CD9" w:rsidRPr="00262D03" w:rsidRDefault="00697CD9" w:rsidP="00E12002">
      <w:pPr>
        <w:keepNext/>
        <w:keepLines/>
        <w:spacing w:after="0" w:line="276" w:lineRule="auto"/>
        <w:jc w:val="both"/>
        <w:outlineLvl w:val="1"/>
        <w:rPr>
          <w:rFonts w:ascii="Cambria" w:eastAsiaTheme="majorEastAsia" w:hAnsi="Cambria" w:cstheme="majorBidi"/>
          <w:b/>
          <w:caps/>
          <w:sz w:val="26"/>
          <w:szCs w:val="26"/>
        </w:rPr>
      </w:pPr>
    </w:p>
    <w:p w14:paraId="4C4AF8AD" w14:textId="77777777" w:rsidR="00697CD9" w:rsidRPr="00262D03" w:rsidRDefault="00697CD9" w:rsidP="00E12002">
      <w:pPr>
        <w:spacing w:line="276" w:lineRule="auto"/>
        <w:jc w:val="both"/>
        <w:rPr>
          <w:rFonts w:ascii="Cambria" w:hAnsi="Cambria" w:cstheme="majorHAnsi"/>
          <w:b/>
          <w:bCs/>
          <w:sz w:val="27"/>
          <w:szCs w:val="27"/>
        </w:rPr>
      </w:pPr>
      <w:r w:rsidRPr="00262D03">
        <w:rPr>
          <w:rFonts w:ascii="Cambria" w:hAnsi="Cambria" w:cstheme="majorHAnsi"/>
          <w:b/>
          <w:bCs/>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697CD9" w:rsidRPr="00262D03" w14:paraId="0242ED97" w14:textId="77777777" w:rsidTr="002F68CB">
        <w:tc>
          <w:tcPr>
            <w:tcW w:w="2925" w:type="dxa"/>
          </w:tcPr>
          <w:p w14:paraId="7332DA43" w14:textId="77777777" w:rsidR="00697CD9" w:rsidRPr="00262D03" w:rsidRDefault="00697CD9" w:rsidP="00E12002">
            <w:pPr>
              <w:spacing w:line="276" w:lineRule="auto"/>
              <w:rPr>
                <w:rFonts w:ascii="Cambria" w:eastAsia="Calibri" w:hAnsi="Cambria" w:cs="Calibri"/>
              </w:rPr>
            </w:pPr>
            <w:r w:rsidRPr="00262D03">
              <w:rPr>
                <w:rFonts w:ascii="Cambria" w:eastAsia="Calibri" w:hAnsi="Cambria" w:cs="Calibri"/>
              </w:rPr>
              <w:t>Policy last reviewed</w:t>
            </w:r>
          </w:p>
        </w:tc>
        <w:tc>
          <w:tcPr>
            <w:tcW w:w="6075" w:type="dxa"/>
          </w:tcPr>
          <w:p w14:paraId="00EC3F3E" w14:textId="77777777" w:rsidR="00697CD9" w:rsidRPr="00262D03" w:rsidRDefault="002C235E" w:rsidP="00E12002">
            <w:pPr>
              <w:spacing w:line="276" w:lineRule="auto"/>
              <w:rPr>
                <w:rFonts w:ascii="Cambria" w:eastAsia="Calibri" w:hAnsi="Cambria" w:cs="Calibri"/>
              </w:rPr>
            </w:pPr>
            <w:r>
              <w:rPr>
                <w:rFonts w:ascii="Cambria" w:eastAsia="Calibri" w:hAnsi="Cambria" w:cs="Calibri"/>
              </w:rPr>
              <w:t>May 2023</w:t>
            </w:r>
          </w:p>
        </w:tc>
      </w:tr>
      <w:tr w:rsidR="00697CD9" w:rsidRPr="00262D03" w14:paraId="401167D9" w14:textId="77777777" w:rsidTr="002F68CB">
        <w:tc>
          <w:tcPr>
            <w:tcW w:w="2925" w:type="dxa"/>
          </w:tcPr>
          <w:p w14:paraId="5CA178F2" w14:textId="77777777" w:rsidR="00697CD9" w:rsidRPr="00262D03" w:rsidRDefault="00697CD9" w:rsidP="00E12002">
            <w:pPr>
              <w:spacing w:line="276" w:lineRule="auto"/>
              <w:rPr>
                <w:rFonts w:ascii="Cambria" w:eastAsia="Calibri" w:hAnsi="Cambria" w:cs="Calibri"/>
              </w:rPr>
            </w:pPr>
            <w:r w:rsidRPr="00262D03">
              <w:rPr>
                <w:rFonts w:ascii="Cambria" w:eastAsia="Calibri" w:hAnsi="Cambria" w:cs="Calibri"/>
              </w:rPr>
              <w:t>Approved by</w:t>
            </w:r>
          </w:p>
        </w:tc>
        <w:tc>
          <w:tcPr>
            <w:tcW w:w="6075" w:type="dxa"/>
          </w:tcPr>
          <w:p w14:paraId="39A9BF01" w14:textId="77777777" w:rsidR="00697CD9" w:rsidRPr="00262D03" w:rsidRDefault="00697CD9" w:rsidP="00E12002">
            <w:pPr>
              <w:spacing w:line="276" w:lineRule="auto"/>
              <w:rPr>
                <w:rFonts w:ascii="Cambria" w:eastAsia="Calibri" w:hAnsi="Cambria" w:cs="Calibri"/>
              </w:rPr>
            </w:pPr>
            <w:r w:rsidRPr="00262D03">
              <w:rPr>
                <w:rFonts w:ascii="Cambria" w:eastAsia="Calibri" w:hAnsi="Cambria" w:cs="Calibri"/>
              </w:rPr>
              <w:t>Principal</w:t>
            </w:r>
          </w:p>
        </w:tc>
      </w:tr>
      <w:tr w:rsidR="00697CD9" w:rsidRPr="00262D03" w14:paraId="2C5C3844" w14:textId="77777777" w:rsidTr="002F68CB">
        <w:tc>
          <w:tcPr>
            <w:tcW w:w="2925" w:type="dxa"/>
          </w:tcPr>
          <w:p w14:paraId="76C9CB8B" w14:textId="77777777" w:rsidR="00697CD9" w:rsidRPr="00262D03" w:rsidRDefault="00697CD9" w:rsidP="00E12002">
            <w:pPr>
              <w:spacing w:line="276" w:lineRule="auto"/>
              <w:rPr>
                <w:rFonts w:ascii="Cambria" w:eastAsia="Calibri" w:hAnsi="Cambria" w:cs="Calibri"/>
              </w:rPr>
            </w:pPr>
            <w:r w:rsidRPr="00262D03">
              <w:rPr>
                <w:rFonts w:ascii="Cambria" w:eastAsia="Calibri" w:hAnsi="Cambria" w:cs="Calibri"/>
              </w:rPr>
              <w:t>Next scheduled review date</w:t>
            </w:r>
          </w:p>
        </w:tc>
        <w:tc>
          <w:tcPr>
            <w:tcW w:w="6075" w:type="dxa"/>
          </w:tcPr>
          <w:p w14:paraId="369279ED" w14:textId="77777777" w:rsidR="00697CD9" w:rsidRPr="00262D03" w:rsidRDefault="002C235E" w:rsidP="00E12002">
            <w:pPr>
              <w:spacing w:line="276" w:lineRule="auto"/>
              <w:textAlignment w:val="baseline"/>
              <w:rPr>
                <w:rFonts w:ascii="Cambria" w:hAnsi="Cambria" w:cs="Times New Roman"/>
                <w:sz w:val="24"/>
                <w:szCs w:val="24"/>
                <w:lang w:eastAsia="en-AU"/>
              </w:rPr>
            </w:pPr>
            <w:r>
              <w:rPr>
                <w:rFonts w:ascii="Cambria" w:hAnsi="Cambria"/>
                <w:lang w:eastAsia="en-AU"/>
              </w:rPr>
              <w:t>May 2024</w:t>
            </w:r>
            <w:bookmarkStart w:id="1" w:name="_GoBack"/>
            <w:bookmarkEnd w:id="1"/>
          </w:p>
        </w:tc>
      </w:tr>
    </w:tbl>
    <w:p w14:paraId="68E740E6" w14:textId="77777777" w:rsidR="00697CD9" w:rsidRPr="00262D03" w:rsidRDefault="00697CD9" w:rsidP="00E12002">
      <w:pPr>
        <w:spacing w:after="0" w:line="276" w:lineRule="auto"/>
        <w:rPr>
          <w:rFonts w:ascii="Cambria" w:hAnsi="Cambria"/>
        </w:rPr>
      </w:pPr>
    </w:p>
    <w:p w14:paraId="0AB19A3D" w14:textId="77777777" w:rsidR="00697CD9" w:rsidRDefault="00697CD9" w:rsidP="00E12002">
      <w:pPr>
        <w:spacing w:line="276" w:lineRule="auto"/>
      </w:pPr>
    </w:p>
    <w:p w14:paraId="5A76D21A" w14:textId="77777777" w:rsidR="00697CD9" w:rsidRDefault="00697CD9" w:rsidP="00E12002">
      <w:pPr>
        <w:spacing w:line="276" w:lineRule="auto"/>
      </w:pPr>
    </w:p>
    <w:p w14:paraId="1B671547" w14:textId="77777777" w:rsidR="00D86542" w:rsidRDefault="00D86542"/>
    <w:sectPr w:rsidR="00D86542" w:rsidSect="002C235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62195" w14:textId="77777777" w:rsidR="00211CDA" w:rsidRDefault="00211CDA">
      <w:pPr>
        <w:spacing w:after="0" w:line="240" w:lineRule="auto"/>
      </w:pPr>
      <w:r>
        <w:separator/>
      </w:r>
    </w:p>
  </w:endnote>
  <w:endnote w:type="continuationSeparator" w:id="0">
    <w:p w14:paraId="2A9774A8" w14:textId="77777777" w:rsidR="00211CDA" w:rsidRDefault="0021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10943" w14:textId="77777777" w:rsidR="00FE3361" w:rsidRDefault="00211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56EE" w14:textId="77777777" w:rsidR="00FE3361" w:rsidRDefault="00211C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381B9" w14:textId="77777777" w:rsidR="00FE3361" w:rsidRDefault="00211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CEC87" w14:textId="77777777" w:rsidR="00211CDA" w:rsidRDefault="00211CDA">
      <w:pPr>
        <w:spacing w:after="0" w:line="240" w:lineRule="auto"/>
      </w:pPr>
      <w:r>
        <w:separator/>
      </w:r>
    </w:p>
  </w:footnote>
  <w:footnote w:type="continuationSeparator" w:id="0">
    <w:p w14:paraId="7219FD63" w14:textId="77777777" w:rsidR="00211CDA" w:rsidRDefault="00211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BB45A" w14:textId="77777777" w:rsidR="00FE3361" w:rsidRDefault="00211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1C34C" w14:textId="77777777" w:rsidR="00911CED" w:rsidRPr="00911CED" w:rsidRDefault="00724412" w:rsidP="00911CED">
    <w:pPr>
      <w:spacing w:line="256" w:lineRule="auto"/>
      <w:jc w:val="both"/>
      <w:rPr>
        <w:highlight w:val="green"/>
      </w:rPr>
    </w:pPr>
    <w:r w:rsidRPr="00911CED">
      <w:rPr>
        <w:highlight w:val="green"/>
      </w:rPr>
      <w:t xml:space="preserve">  </w:t>
    </w:r>
  </w:p>
  <w:p w14:paraId="78BE2022" w14:textId="77777777" w:rsidR="00911CED" w:rsidRDefault="00211CDA" w:rsidP="00911CED">
    <w:pPr>
      <w:pStyle w:val="Header"/>
      <w:tabs>
        <w:tab w:val="clear" w:pos="4513"/>
        <w:tab w:val="clear" w:pos="9026"/>
        <w:tab w:val="left" w:pos="11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91E2E" w14:textId="77777777" w:rsidR="00FE3361" w:rsidRDefault="00211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DF78B0"/>
    <w:multiLevelType w:val="hybridMultilevel"/>
    <w:tmpl w:val="7FFA1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AD6F13"/>
    <w:multiLevelType w:val="hybridMultilevel"/>
    <w:tmpl w:val="B846C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6A23D6"/>
    <w:multiLevelType w:val="hybridMultilevel"/>
    <w:tmpl w:val="80BE7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87761C"/>
    <w:multiLevelType w:val="hybridMultilevel"/>
    <w:tmpl w:val="9EBAC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D9"/>
    <w:rsid w:val="00211CDA"/>
    <w:rsid w:val="002C235E"/>
    <w:rsid w:val="00697CD9"/>
    <w:rsid w:val="00724412"/>
    <w:rsid w:val="00D86542"/>
    <w:rsid w:val="00D90AFD"/>
    <w:rsid w:val="00E120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6EC6E"/>
  <w15:chartTrackingRefBased/>
  <w15:docId w15:val="{636C3038-8F9D-4762-AD81-74916168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CD9"/>
  </w:style>
  <w:style w:type="paragraph" w:styleId="Heading2">
    <w:name w:val="heading 2"/>
    <w:basedOn w:val="Normal"/>
    <w:next w:val="Normal"/>
    <w:link w:val="Heading2Char"/>
    <w:uiPriority w:val="9"/>
    <w:unhideWhenUsed/>
    <w:qFormat/>
    <w:rsid w:val="00697C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7CD9"/>
    <w:rPr>
      <w:rFonts w:asciiTheme="majorHAnsi" w:eastAsiaTheme="majorEastAsia" w:hAnsiTheme="majorHAnsi" w:cstheme="majorBidi"/>
      <w:color w:val="2F5496" w:themeColor="accent1" w:themeShade="BF"/>
      <w:sz w:val="26"/>
      <w:szCs w:val="26"/>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697CD9"/>
    <w:pPr>
      <w:ind w:left="720"/>
      <w:contextualSpacing/>
    </w:p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697CD9"/>
  </w:style>
  <w:style w:type="paragraph" w:styleId="Header">
    <w:name w:val="header"/>
    <w:basedOn w:val="Normal"/>
    <w:link w:val="HeaderChar"/>
    <w:uiPriority w:val="99"/>
    <w:unhideWhenUsed/>
    <w:rsid w:val="00697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CD9"/>
  </w:style>
  <w:style w:type="table" w:styleId="TableGrid">
    <w:name w:val="Table Grid"/>
    <w:basedOn w:val="TableNormal"/>
    <w:uiPriority w:val="39"/>
    <w:rsid w:val="00697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97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Deer</dc:creator>
  <cp:keywords/>
  <dc:description/>
  <cp:lastModifiedBy>Tiana Clayworth</cp:lastModifiedBy>
  <cp:revision>2</cp:revision>
  <cp:lastPrinted>2023-05-08T04:49:00Z</cp:lastPrinted>
  <dcterms:created xsi:type="dcterms:W3CDTF">2023-05-08T04:49:00Z</dcterms:created>
  <dcterms:modified xsi:type="dcterms:W3CDTF">2023-05-08T04:49:00Z</dcterms:modified>
</cp:coreProperties>
</file>