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5" w:type="dxa"/>
        <w:tblInd w:w="108" w:type="dxa"/>
        <w:tblLook w:val="04A0" w:firstRow="1" w:lastRow="0" w:firstColumn="1" w:lastColumn="0" w:noHBand="0" w:noVBand="1"/>
      </w:tblPr>
      <w:tblGrid>
        <w:gridCol w:w="1055"/>
        <w:gridCol w:w="839"/>
        <w:gridCol w:w="839"/>
        <w:gridCol w:w="839"/>
        <w:gridCol w:w="839"/>
        <w:gridCol w:w="839"/>
        <w:gridCol w:w="839"/>
        <w:gridCol w:w="839"/>
        <w:gridCol w:w="839"/>
        <w:gridCol w:w="849"/>
      </w:tblGrid>
      <w:tr w:rsidR="0088369A" w:rsidRPr="00660B29" w14:paraId="465D2B37" w14:textId="77777777" w:rsidTr="00600290">
        <w:trPr>
          <w:trHeight w:val="105"/>
        </w:trPr>
        <w:tc>
          <w:tcPr>
            <w:tcW w:w="1054" w:type="dxa"/>
            <w:tcBorders>
              <w:top w:val="nil"/>
              <w:left w:val="nil"/>
              <w:bottom w:val="nil"/>
              <w:right w:val="nil"/>
            </w:tcBorders>
            <w:shd w:val="clear" w:color="auto" w:fill="auto"/>
            <w:noWrap/>
            <w:vAlign w:val="bottom"/>
            <w:hideMark/>
          </w:tcPr>
          <w:tbl>
            <w:tblPr>
              <w:tblW w:w="839" w:type="dxa"/>
              <w:tblCellSpacing w:w="0" w:type="dxa"/>
              <w:tblCellMar>
                <w:left w:w="0" w:type="dxa"/>
                <w:right w:w="0" w:type="dxa"/>
              </w:tblCellMar>
              <w:tblLook w:val="04A0" w:firstRow="1" w:lastRow="0" w:firstColumn="1" w:lastColumn="0" w:noHBand="0" w:noVBand="1"/>
            </w:tblPr>
            <w:tblGrid>
              <w:gridCol w:w="839"/>
            </w:tblGrid>
            <w:tr w:rsidR="0088369A" w:rsidRPr="00660B29" w14:paraId="11B25ABF" w14:textId="77777777" w:rsidTr="00600290">
              <w:trPr>
                <w:trHeight w:val="105"/>
                <w:tblCellSpacing w:w="0" w:type="dxa"/>
              </w:trPr>
              <w:tc>
                <w:tcPr>
                  <w:tcW w:w="839" w:type="dxa"/>
                  <w:tcBorders>
                    <w:top w:val="nil"/>
                    <w:left w:val="nil"/>
                    <w:bottom w:val="nil"/>
                    <w:right w:val="nil"/>
                  </w:tcBorders>
                  <w:shd w:val="clear" w:color="auto" w:fill="auto"/>
                  <w:noWrap/>
                  <w:vAlign w:val="bottom"/>
                  <w:hideMark/>
                </w:tcPr>
                <w:p w14:paraId="5D549A5A" w14:textId="77777777" w:rsidR="0088369A" w:rsidRPr="00660B29" w:rsidRDefault="0088369A" w:rsidP="00600290">
                  <w:pPr>
                    <w:jc w:val="center"/>
                    <w:rPr>
                      <w:color w:val="000000"/>
                      <w:sz w:val="48"/>
                      <w:szCs w:val="48"/>
                      <w:lang w:eastAsia="en-AU"/>
                    </w:rPr>
                  </w:pPr>
                </w:p>
              </w:tc>
            </w:tr>
          </w:tbl>
          <w:p w14:paraId="02500205" w14:textId="28B74A53" w:rsidR="0088369A" w:rsidRPr="00660B29" w:rsidRDefault="00DA4A5B" w:rsidP="00600290">
            <w:pPr>
              <w:jc w:val="center"/>
              <w:rPr>
                <w:rFonts w:ascii="Calibri" w:hAnsi="Calibri"/>
                <w:color w:val="000000"/>
                <w:sz w:val="22"/>
                <w:szCs w:val="22"/>
                <w:lang w:eastAsia="en-AU"/>
              </w:rPr>
            </w:pPr>
            <w:r>
              <w:rPr>
                <w:rFonts w:ascii="Calibri" w:hAnsi="Calibri"/>
                <w:noProof/>
                <w:color w:val="000000"/>
                <w:sz w:val="22"/>
                <w:szCs w:val="22"/>
                <w:lang w:eastAsia="en-AU"/>
              </w:rPr>
              <w:drawing>
                <wp:anchor distT="0" distB="0" distL="114300" distR="114300" simplePos="0" relativeHeight="251661312" behindDoc="0" locked="0" layoutInCell="1" allowOverlap="1" wp14:anchorId="79372827" wp14:editId="2987E568">
                  <wp:simplePos x="0" y="0"/>
                  <wp:positionH relativeFrom="column">
                    <wp:posOffset>-133350</wp:posOffset>
                  </wp:positionH>
                  <wp:positionV relativeFrom="paragraph">
                    <wp:posOffset>-262890</wp:posOffset>
                  </wp:positionV>
                  <wp:extent cx="1057275" cy="1047750"/>
                  <wp:effectExtent l="0" t="0" r="952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047750"/>
                          </a:xfrm>
                          <a:prstGeom prst="rect">
                            <a:avLst/>
                          </a:prstGeom>
                        </pic:spPr>
                      </pic:pic>
                    </a:graphicData>
                  </a:graphic>
                  <wp14:sizeRelH relativeFrom="page">
                    <wp14:pctWidth>0</wp14:pctWidth>
                  </wp14:sizeRelH>
                  <wp14:sizeRelV relativeFrom="page">
                    <wp14:pctHeight>0</wp14:pctHeight>
                  </wp14:sizeRelV>
                </wp:anchor>
              </w:drawing>
            </w:r>
          </w:p>
        </w:tc>
        <w:tc>
          <w:tcPr>
            <w:tcW w:w="7561" w:type="dxa"/>
            <w:gridSpan w:val="9"/>
            <w:tcBorders>
              <w:top w:val="nil"/>
              <w:left w:val="nil"/>
              <w:bottom w:val="nil"/>
              <w:right w:val="nil"/>
            </w:tcBorders>
            <w:shd w:val="clear" w:color="auto" w:fill="auto"/>
            <w:noWrap/>
            <w:vAlign w:val="bottom"/>
            <w:hideMark/>
          </w:tcPr>
          <w:p w14:paraId="526A28DF" w14:textId="5D448536" w:rsidR="0088369A" w:rsidRPr="009D1EB4" w:rsidRDefault="0088369A" w:rsidP="00600290">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 xml:space="preserve"> </w:t>
            </w:r>
            <w:r>
              <w:rPr>
                <w:b/>
                <w:color w:val="000000"/>
                <w:sz w:val="40"/>
                <w:szCs w:val="40"/>
                <w:lang w:eastAsia="en-AU"/>
              </w:rPr>
              <w:t xml:space="preserve">    </w:t>
            </w:r>
            <w:r w:rsidRPr="009D1EB4">
              <w:rPr>
                <w:b/>
                <w:color w:val="000000"/>
                <w:sz w:val="40"/>
                <w:szCs w:val="40"/>
                <w:lang w:eastAsia="en-AU"/>
              </w:rPr>
              <w:t>EMERALD</w:t>
            </w:r>
          </w:p>
          <w:p w14:paraId="4DAECF8D" w14:textId="77777777" w:rsidR="0088369A" w:rsidRPr="009D1EB4" w:rsidRDefault="0088369A" w:rsidP="00600290">
            <w:pPr>
              <w:rPr>
                <w:b/>
                <w:color w:val="000000"/>
                <w:sz w:val="40"/>
                <w:szCs w:val="40"/>
                <w:lang w:eastAsia="en-AU"/>
              </w:rPr>
            </w:pPr>
            <w:r w:rsidRPr="00660B29">
              <w:rPr>
                <w:color w:val="000000"/>
                <w:sz w:val="40"/>
                <w:szCs w:val="40"/>
                <w:lang w:eastAsia="en-AU"/>
              </w:rPr>
              <w:t xml:space="preserve">         </w:t>
            </w:r>
            <w:r>
              <w:rPr>
                <w:color w:val="000000"/>
                <w:sz w:val="40"/>
                <w:szCs w:val="40"/>
                <w:lang w:eastAsia="en-AU"/>
              </w:rPr>
              <w:t xml:space="preserve">      </w:t>
            </w:r>
            <w:r w:rsidRPr="009D1EB4">
              <w:rPr>
                <w:b/>
                <w:color w:val="000000"/>
                <w:sz w:val="40"/>
                <w:szCs w:val="40"/>
                <w:lang w:eastAsia="en-AU"/>
              </w:rPr>
              <w:t>SECONDARY COLLEGE</w:t>
            </w:r>
          </w:p>
        </w:tc>
      </w:tr>
      <w:tr w:rsidR="0088369A" w:rsidRPr="00660B29" w14:paraId="7918DF46" w14:textId="77777777" w:rsidTr="00600290">
        <w:trPr>
          <w:trHeight w:val="71"/>
        </w:trPr>
        <w:tc>
          <w:tcPr>
            <w:tcW w:w="1054" w:type="dxa"/>
            <w:tcBorders>
              <w:top w:val="nil"/>
              <w:left w:val="nil"/>
              <w:bottom w:val="nil"/>
              <w:right w:val="nil"/>
            </w:tcBorders>
            <w:shd w:val="clear" w:color="auto" w:fill="auto"/>
            <w:noWrap/>
            <w:vAlign w:val="bottom"/>
            <w:hideMark/>
          </w:tcPr>
          <w:p w14:paraId="7F4FB265"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F7BCF98"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BD7BA48" w14:textId="77777777" w:rsidR="0088369A" w:rsidRPr="00660B29" w:rsidRDefault="0088369A" w:rsidP="00600290">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E12419C" w14:textId="77777777" w:rsidR="0088369A" w:rsidRPr="00660B29" w:rsidRDefault="0088369A" w:rsidP="00600290">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7D6BD542" w14:textId="77777777" w:rsidR="0088369A" w:rsidRPr="00660B29" w:rsidRDefault="0088369A" w:rsidP="00600290">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2CE15225" w14:textId="77777777" w:rsidR="0088369A" w:rsidRPr="00660B29" w:rsidRDefault="0088369A" w:rsidP="00600290">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5B191102" w14:textId="77777777" w:rsidR="0088369A" w:rsidRPr="00660B29" w:rsidRDefault="0088369A" w:rsidP="00600290">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6BAE6313" w14:textId="77777777" w:rsidR="0088369A" w:rsidRPr="00660B29" w:rsidRDefault="0088369A" w:rsidP="00600290">
            <w:pPr>
              <w:rPr>
                <w:rFonts w:ascii="Calibri" w:hAnsi="Calibri"/>
                <w:color w:val="000000"/>
                <w:sz w:val="22"/>
                <w:szCs w:val="22"/>
                <w:lang w:eastAsia="en-AU"/>
              </w:rPr>
            </w:pPr>
          </w:p>
        </w:tc>
        <w:tc>
          <w:tcPr>
            <w:tcW w:w="839" w:type="dxa"/>
            <w:tcBorders>
              <w:top w:val="nil"/>
              <w:left w:val="nil"/>
              <w:bottom w:val="nil"/>
              <w:right w:val="nil"/>
            </w:tcBorders>
            <w:shd w:val="clear" w:color="auto" w:fill="auto"/>
            <w:noWrap/>
            <w:vAlign w:val="bottom"/>
            <w:hideMark/>
          </w:tcPr>
          <w:p w14:paraId="1C1BB894" w14:textId="77777777" w:rsidR="0088369A" w:rsidRPr="00660B29" w:rsidRDefault="0088369A" w:rsidP="00600290">
            <w:pPr>
              <w:rPr>
                <w:rFonts w:ascii="Calibri" w:hAnsi="Calibri"/>
                <w:color w:val="000000"/>
                <w:sz w:val="22"/>
                <w:szCs w:val="22"/>
                <w:lang w:eastAsia="en-AU"/>
              </w:rPr>
            </w:pPr>
          </w:p>
        </w:tc>
        <w:tc>
          <w:tcPr>
            <w:tcW w:w="848" w:type="dxa"/>
            <w:tcBorders>
              <w:top w:val="nil"/>
              <w:left w:val="nil"/>
              <w:bottom w:val="nil"/>
              <w:right w:val="nil"/>
            </w:tcBorders>
            <w:shd w:val="clear" w:color="auto" w:fill="auto"/>
            <w:noWrap/>
            <w:vAlign w:val="bottom"/>
            <w:hideMark/>
          </w:tcPr>
          <w:p w14:paraId="6E84D629" w14:textId="77777777" w:rsidR="0088369A" w:rsidRPr="00660B29" w:rsidRDefault="0088369A" w:rsidP="00600290">
            <w:pPr>
              <w:rPr>
                <w:rFonts w:ascii="Calibri" w:hAnsi="Calibri"/>
                <w:color w:val="000000"/>
                <w:sz w:val="22"/>
                <w:szCs w:val="22"/>
                <w:lang w:eastAsia="en-AU"/>
              </w:rPr>
            </w:pPr>
          </w:p>
        </w:tc>
      </w:tr>
      <w:tr w:rsidR="0088369A" w:rsidRPr="00660B29" w14:paraId="4BD6CA42" w14:textId="77777777" w:rsidTr="00600290">
        <w:trPr>
          <w:trHeight w:val="80"/>
        </w:trPr>
        <w:tc>
          <w:tcPr>
            <w:tcW w:w="1054" w:type="dxa"/>
            <w:tcBorders>
              <w:top w:val="nil"/>
              <w:left w:val="nil"/>
              <w:bottom w:val="nil"/>
              <w:right w:val="nil"/>
            </w:tcBorders>
            <w:shd w:val="clear" w:color="auto" w:fill="auto"/>
            <w:noWrap/>
            <w:vAlign w:val="bottom"/>
            <w:hideMark/>
          </w:tcPr>
          <w:p w14:paraId="4A3A6E59"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EA83827"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67F189E"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4E0472E"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B178B21"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141152E"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8D65549"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3192A79D"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235008F" w14:textId="77777777" w:rsidR="0088369A" w:rsidRPr="00660B29" w:rsidRDefault="0088369A" w:rsidP="00600290">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26635594" w14:textId="77777777" w:rsidR="0088369A" w:rsidRPr="00660B29" w:rsidRDefault="0088369A" w:rsidP="00600290">
            <w:pPr>
              <w:rPr>
                <w:color w:val="000000"/>
                <w:sz w:val="48"/>
                <w:szCs w:val="48"/>
                <w:lang w:eastAsia="en-AU"/>
              </w:rPr>
            </w:pPr>
          </w:p>
        </w:tc>
      </w:tr>
      <w:tr w:rsidR="0088369A" w:rsidRPr="00660B29" w14:paraId="4C132BFA" w14:textId="77777777" w:rsidTr="00600290">
        <w:trPr>
          <w:trHeight w:val="63"/>
        </w:trPr>
        <w:tc>
          <w:tcPr>
            <w:tcW w:w="1054" w:type="dxa"/>
            <w:tcBorders>
              <w:top w:val="nil"/>
              <w:left w:val="nil"/>
              <w:bottom w:val="nil"/>
              <w:right w:val="nil"/>
            </w:tcBorders>
            <w:shd w:val="clear" w:color="auto" w:fill="auto"/>
            <w:noWrap/>
            <w:vAlign w:val="bottom"/>
            <w:hideMark/>
          </w:tcPr>
          <w:p w14:paraId="0A1A285C"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88B17DB"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7B1EFC81"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6EC9D9CC"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0B5478B"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558670A4"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219C38EB"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01405416" w14:textId="77777777" w:rsidR="0088369A" w:rsidRPr="00660B29" w:rsidRDefault="0088369A" w:rsidP="00600290">
            <w:pPr>
              <w:rPr>
                <w:color w:val="000000"/>
                <w:sz w:val="48"/>
                <w:szCs w:val="48"/>
                <w:lang w:eastAsia="en-AU"/>
              </w:rPr>
            </w:pPr>
          </w:p>
        </w:tc>
        <w:tc>
          <w:tcPr>
            <w:tcW w:w="839" w:type="dxa"/>
            <w:tcBorders>
              <w:top w:val="nil"/>
              <w:left w:val="nil"/>
              <w:bottom w:val="nil"/>
              <w:right w:val="nil"/>
            </w:tcBorders>
            <w:shd w:val="clear" w:color="auto" w:fill="auto"/>
            <w:noWrap/>
            <w:vAlign w:val="bottom"/>
            <w:hideMark/>
          </w:tcPr>
          <w:p w14:paraId="1BE672C3" w14:textId="77777777" w:rsidR="0088369A" w:rsidRPr="00660B29" w:rsidRDefault="0088369A" w:rsidP="00600290">
            <w:pPr>
              <w:rPr>
                <w:color w:val="000000"/>
                <w:sz w:val="48"/>
                <w:szCs w:val="48"/>
                <w:lang w:eastAsia="en-AU"/>
              </w:rPr>
            </w:pPr>
          </w:p>
        </w:tc>
        <w:tc>
          <w:tcPr>
            <w:tcW w:w="848" w:type="dxa"/>
            <w:tcBorders>
              <w:top w:val="nil"/>
              <w:left w:val="nil"/>
              <w:bottom w:val="nil"/>
              <w:right w:val="nil"/>
            </w:tcBorders>
            <w:shd w:val="clear" w:color="auto" w:fill="auto"/>
            <w:noWrap/>
            <w:vAlign w:val="bottom"/>
            <w:hideMark/>
          </w:tcPr>
          <w:p w14:paraId="72CD611B" w14:textId="77777777" w:rsidR="0088369A" w:rsidRPr="00660B29" w:rsidRDefault="0088369A" w:rsidP="00600290">
            <w:pPr>
              <w:rPr>
                <w:color w:val="000000"/>
                <w:sz w:val="48"/>
                <w:szCs w:val="48"/>
                <w:lang w:eastAsia="en-AU"/>
              </w:rPr>
            </w:pPr>
          </w:p>
        </w:tc>
      </w:tr>
    </w:tbl>
    <w:p w14:paraId="168AEBEA" w14:textId="77777777" w:rsidR="0088369A" w:rsidRPr="00F8379D" w:rsidRDefault="0088369A" w:rsidP="0088369A">
      <w:pPr>
        <w:pStyle w:val="Title"/>
        <w:ind w:left="0"/>
        <w:rPr>
          <w:sz w:val="48"/>
          <w:szCs w:val="48"/>
          <w:u w:val="none"/>
        </w:rPr>
      </w:pPr>
      <w:r w:rsidRPr="008902EB">
        <w:rPr>
          <w:noProof/>
          <w:sz w:val="56"/>
          <w:szCs w:val="56"/>
          <w:u w:val="none"/>
          <w:lang w:val="en-US"/>
        </w:rPr>
        <mc:AlternateContent>
          <mc:Choice Requires="wps">
            <w:drawing>
              <wp:anchor distT="0" distB="0" distL="114300" distR="114300" simplePos="0" relativeHeight="251659264" behindDoc="1" locked="0" layoutInCell="1" allowOverlap="1" wp14:anchorId="40845615" wp14:editId="6E8FDF5D">
                <wp:simplePos x="0" y="0"/>
                <wp:positionH relativeFrom="column">
                  <wp:posOffset>381000</wp:posOffset>
                </wp:positionH>
                <wp:positionV relativeFrom="paragraph">
                  <wp:posOffset>264160</wp:posOffset>
                </wp:positionV>
                <wp:extent cx="5895975" cy="914400"/>
                <wp:effectExtent l="0" t="0" r="28575" b="190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1440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77058" id="Rectangle 2" o:spid="_x0000_s1026" style="position:absolute;margin-left:30pt;margin-top:20.8pt;width:464.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" fillcolor="#9cf"/>
            </w:pict>
          </mc:Fallback>
        </mc:AlternateContent>
      </w:r>
    </w:p>
    <w:p w14:paraId="6A893E88" w14:textId="77777777" w:rsidR="0088369A" w:rsidRPr="00946180" w:rsidRDefault="00946180" w:rsidP="0088369A">
      <w:pPr>
        <w:pStyle w:val="Title"/>
        <w:ind w:left="0"/>
        <w:rPr>
          <w:sz w:val="52"/>
          <w:szCs w:val="52"/>
          <w:u w:val="none"/>
        </w:rPr>
      </w:pPr>
      <w:r w:rsidRPr="00946180">
        <w:rPr>
          <w:noProof/>
          <w:sz w:val="52"/>
          <w:szCs w:val="52"/>
          <w:u w:val="none"/>
          <w:lang w:eastAsia="en-AU"/>
        </w:rPr>
        <w:t>SELECT ENTRY ACCELERATED LEARNING (SEAL)</w:t>
      </w:r>
      <w:r w:rsidR="0088369A" w:rsidRPr="00946180">
        <w:rPr>
          <w:noProof/>
          <w:sz w:val="52"/>
          <w:szCs w:val="52"/>
          <w:u w:val="none"/>
          <w:lang w:eastAsia="en-AU"/>
        </w:rPr>
        <w:t xml:space="preserve"> POLICY</w:t>
      </w:r>
    </w:p>
    <w:p w14:paraId="2E30CF09" w14:textId="77777777" w:rsidR="0088369A" w:rsidRDefault="00946180" w:rsidP="0088369A">
      <w:pPr>
        <w:ind w:left="709"/>
        <w:jc w:val="both"/>
        <w:rPr>
          <w:b/>
          <w:u w:val="single"/>
        </w:rPr>
      </w:pPr>
      <w:r>
        <w:rPr>
          <w:b/>
          <w:noProof/>
          <w:sz w:val="20"/>
          <w:u w:val="single"/>
          <w:lang w:val="en-US"/>
        </w:rPr>
        <mc:AlternateContent>
          <mc:Choice Requires="wps">
            <w:drawing>
              <wp:anchor distT="0" distB="0" distL="114300" distR="114300" simplePos="0" relativeHeight="251660288" behindDoc="0" locked="0" layoutInCell="1" allowOverlap="1" wp14:anchorId="578C7AFA" wp14:editId="4356AF06">
                <wp:simplePos x="0" y="0"/>
                <wp:positionH relativeFrom="column">
                  <wp:posOffset>771525</wp:posOffset>
                </wp:positionH>
                <wp:positionV relativeFrom="paragraph">
                  <wp:posOffset>68580</wp:posOffset>
                </wp:positionV>
                <wp:extent cx="5191125" cy="1333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191125" cy="1333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13C31" id="Rectangle 3" o:spid="_x0000_s1026" style="position:absolute;margin-left:60.75pt;margin-top:5.4pt;width:408.75pt;height: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" fillcolor="black"/>
            </w:pict>
          </mc:Fallback>
        </mc:AlternateContent>
      </w:r>
    </w:p>
    <w:p w14:paraId="218347C4" w14:textId="77777777" w:rsidR="0088369A" w:rsidRDefault="0088369A" w:rsidP="0088369A">
      <w:pPr>
        <w:ind w:left="709"/>
        <w:jc w:val="both"/>
        <w:rPr>
          <w:b/>
          <w:u w:val="single"/>
        </w:rPr>
      </w:pPr>
    </w:p>
    <w:p w14:paraId="74A01C3A" w14:textId="4A0D9F29" w:rsidR="00C57D71" w:rsidRDefault="00C57D71" w:rsidP="00C57D71">
      <w:pPr>
        <w:rPr>
          <w:b/>
          <w:bCs/>
          <w:sz w:val="22"/>
          <w:szCs w:val="22"/>
        </w:rPr>
      </w:pPr>
      <w:r>
        <w:rPr>
          <w:noProof/>
          <w:sz w:val="22"/>
          <w:szCs w:val="22"/>
        </w:rPr>
        <w:drawing>
          <wp:anchor distT="0" distB="0" distL="114300" distR="114300" simplePos="0" relativeHeight="251663360" behindDoc="0" locked="0" layoutInCell="1" allowOverlap="1" wp14:anchorId="3F0D19B5" wp14:editId="25FBDB02">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3D67D75B" w14:textId="77777777" w:rsidR="00C57D71" w:rsidRDefault="00C57D71" w:rsidP="00C57D71">
      <w:r>
        <w:t xml:space="preserve">If you need help to understand the information in this policy, please contact Emerald Secondary College on (03) 5968 5388 or email </w:t>
      </w:r>
      <w:hyperlink r:id="rId10" w:history="1">
        <w:r>
          <w:rPr>
            <w:rStyle w:val="Hyperlink"/>
          </w:rPr>
          <w:t>emerald.sc@education.vic.gov.au</w:t>
        </w:r>
      </w:hyperlink>
      <w:r>
        <w:t xml:space="preserve"> </w:t>
      </w:r>
    </w:p>
    <w:p w14:paraId="53BD8251" w14:textId="77777777" w:rsidR="00C57D71" w:rsidRDefault="00C57D71" w:rsidP="00C57D71">
      <w:pPr>
        <w:jc w:val="both"/>
        <w:rPr>
          <w:rFonts w:ascii="Calibri" w:eastAsia="Calibri" w:hAnsi="Calibri" w:cs="Calibri"/>
          <w:b/>
          <w:bCs/>
          <w:color w:val="0B0C1D"/>
          <w:lang w:val="en"/>
        </w:rPr>
      </w:pPr>
    </w:p>
    <w:p w14:paraId="4464E639" w14:textId="77777777" w:rsidR="00325C74" w:rsidRDefault="00325C74" w:rsidP="0088369A">
      <w:pPr>
        <w:ind w:right="238"/>
        <w:jc w:val="both"/>
        <w:rPr>
          <w:b/>
          <w:bCs/>
          <w:u w:val="single"/>
        </w:rPr>
      </w:pPr>
    </w:p>
    <w:p w14:paraId="6DE0DF23" w14:textId="77777777" w:rsidR="00554FF5" w:rsidRPr="006A76BE" w:rsidRDefault="00554FF5" w:rsidP="00554FF5">
      <w:pPr>
        <w:pStyle w:val="Heading2"/>
        <w:spacing w:after="240" w:line="240" w:lineRule="auto"/>
        <w:jc w:val="both"/>
        <w:rPr>
          <w:b/>
          <w:caps/>
          <w:color w:val="4F81BD" w:themeColor="accent1"/>
        </w:rPr>
      </w:pPr>
      <w:r w:rsidRPr="006A76BE">
        <w:rPr>
          <w:b/>
          <w:caps/>
          <w:color w:val="4F81BD" w:themeColor="accent1"/>
        </w:rPr>
        <w:t>Purpose</w:t>
      </w:r>
    </w:p>
    <w:p w14:paraId="66DD3806" w14:textId="77777777" w:rsidR="00946180" w:rsidRDefault="00946180" w:rsidP="00946180">
      <w:pPr>
        <w:rPr>
          <w:lang w:eastAsia="en-AU"/>
        </w:rPr>
      </w:pPr>
      <w:r w:rsidRPr="00946180">
        <w:rPr>
          <w:bCs/>
        </w:rPr>
        <w:t xml:space="preserve">The SEAL program at Emerald Secondary College </w:t>
      </w:r>
      <w:r w:rsidRPr="00946180">
        <w:t>aims to address the learning needs of academically gifted students who are capable of working at a significantly faster pace and in greater depth than their peers. Emerald</w:t>
      </w:r>
      <w:r w:rsidRPr="00946180">
        <w:rPr>
          <w:lang w:eastAsia="en-AU"/>
        </w:rPr>
        <w:t xml:space="preserve"> Secondary College’s SEAL Program is designed to provide an enriched and in some areas accelerated educational environment for high achieving, academically gifted students from Years 7 to 10. Emerald Secondary College recognises that students with such learning needs must have access to a supportive environment and enriched curriculum program that enhances their learning potential.</w:t>
      </w:r>
    </w:p>
    <w:p w14:paraId="4FBB3730" w14:textId="77777777" w:rsidR="00946180" w:rsidRPr="00946180" w:rsidRDefault="00946180" w:rsidP="00946180">
      <w:pPr>
        <w:rPr>
          <w:lang w:eastAsia="en-AU"/>
        </w:rPr>
      </w:pPr>
    </w:p>
    <w:p w14:paraId="5C4113B0" w14:textId="77777777" w:rsidR="00554FF5" w:rsidRPr="006A76BE" w:rsidRDefault="00946180" w:rsidP="00554FF5">
      <w:pPr>
        <w:pStyle w:val="Heading2"/>
        <w:spacing w:after="240" w:line="240" w:lineRule="auto"/>
        <w:jc w:val="both"/>
        <w:rPr>
          <w:b/>
          <w:caps/>
          <w:color w:val="4F81BD" w:themeColor="accent1"/>
        </w:rPr>
      </w:pPr>
      <w:r>
        <w:rPr>
          <w:b/>
          <w:caps/>
          <w:color w:val="4F81BD" w:themeColor="accent1"/>
        </w:rPr>
        <w:t>AIMS</w:t>
      </w:r>
    </w:p>
    <w:p w14:paraId="479D2C51" w14:textId="77777777" w:rsidR="00946180" w:rsidRPr="00946180" w:rsidRDefault="00946180" w:rsidP="00946180">
      <w:pPr>
        <w:shd w:val="clear" w:color="auto" w:fill="FFFFFF"/>
        <w:spacing w:before="100" w:beforeAutospacing="1" w:after="100" w:afterAutospacing="1"/>
        <w:rPr>
          <w:b/>
          <w:lang w:eastAsia="en-AU"/>
        </w:rPr>
      </w:pPr>
      <w:r w:rsidRPr="00946180">
        <w:rPr>
          <w:lang w:eastAsia="en-AU"/>
        </w:rPr>
        <w:t>To meet and extend the academic and environmental needs of an identified group of students who have shown;</w:t>
      </w:r>
    </w:p>
    <w:p w14:paraId="73B9F00C" w14:textId="77777777" w:rsidR="00946180" w:rsidRPr="00946180" w:rsidRDefault="00946180" w:rsidP="00946180">
      <w:pPr>
        <w:numPr>
          <w:ilvl w:val="0"/>
          <w:numId w:val="7"/>
        </w:numPr>
        <w:shd w:val="clear" w:color="auto" w:fill="FFFFFF"/>
        <w:spacing w:before="100" w:beforeAutospacing="1" w:after="100" w:afterAutospacing="1"/>
        <w:contextualSpacing/>
        <w:rPr>
          <w:lang w:eastAsia="en-AU"/>
        </w:rPr>
      </w:pPr>
      <w:r w:rsidRPr="00946180">
        <w:rPr>
          <w:lang w:eastAsia="en-AU"/>
        </w:rPr>
        <w:t>High academic aptitude and who have high educational aspirations</w:t>
      </w:r>
    </w:p>
    <w:p w14:paraId="3F3AE748" w14:textId="77777777" w:rsidR="00946180" w:rsidRPr="00946180" w:rsidRDefault="00946180" w:rsidP="00946180">
      <w:pPr>
        <w:numPr>
          <w:ilvl w:val="0"/>
          <w:numId w:val="7"/>
        </w:numPr>
        <w:shd w:val="clear" w:color="auto" w:fill="FFFFFF"/>
        <w:spacing w:before="100" w:beforeAutospacing="1" w:after="100" w:afterAutospacing="1"/>
        <w:contextualSpacing/>
        <w:rPr>
          <w:lang w:eastAsia="en-AU"/>
        </w:rPr>
      </w:pPr>
      <w:r w:rsidRPr="00946180">
        <w:rPr>
          <w:lang w:eastAsia="en-AU"/>
        </w:rPr>
        <w:t>That they are working beyond 6-12 months of the State standards in at least two or more subject areas. These must include English and/or Mathematics</w:t>
      </w:r>
    </w:p>
    <w:p w14:paraId="51C796C9" w14:textId="77777777" w:rsidR="00946180" w:rsidRPr="00946180" w:rsidRDefault="00946180" w:rsidP="00946180">
      <w:pPr>
        <w:numPr>
          <w:ilvl w:val="0"/>
          <w:numId w:val="7"/>
        </w:numPr>
        <w:shd w:val="clear" w:color="auto" w:fill="FFFFFF"/>
        <w:spacing w:before="100" w:beforeAutospacing="1" w:after="100" w:afterAutospacing="1"/>
        <w:contextualSpacing/>
        <w:rPr>
          <w:lang w:eastAsia="en-AU"/>
        </w:rPr>
      </w:pPr>
      <w:r w:rsidRPr="00946180">
        <w:rPr>
          <w:lang w:eastAsia="en-AU"/>
        </w:rPr>
        <w:t>That they maintain academic standards beyond State Standards</w:t>
      </w:r>
    </w:p>
    <w:p w14:paraId="70F090DB" w14:textId="77777777" w:rsidR="00946180" w:rsidRPr="00946180" w:rsidRDefault="00946180" w:rsidP="00D311B6">
      <w:pPr>
        <w:numPr>
          <w:ilvl w:val="0"/>
          <w:numId w:val="7"/>
        </w:numPr>
        <w:shd w:val="clear" w:color="auto" w:fill="FFFFFF"/>
        <w:spacing w:before="100" w:beforeAutospacing="1" w:after="100" w:afterAutospacing="1"/>
        <w:contextualSpacing/>
        <w:rPr>
          <w:lang w:eastAsia="en-AU"/>
        </w:rPr>
      </w:pPr>
      <w:r w:rsidRPr="00946180">
        <w:rPr>
          <w:lang w:eastAsia="en-AU"/>
        </w:rPr>
        <w:t xml:space="preserve">That they show positive learning behavioural attitudes to continue to build upon their capacity </w:t>
      </w:r>
    </w:p>
    <w:p w14:paraId="57F21AB7" w14:textId="77777777" w:rsidR="00946180" w:rsidRPr="00946180" w:rsidRDefault="00946180" w:rsidP="00946180">
      <w:pPr>
        <w:numPr>
          <w:ilvl w:val="0"/>
          <w:numId w:val="7"/>
        </w:numPr>
        <w:autoSpaceDE w:val="0"/>
        <w:autoSpaceDN w:val="0"/>
        <w:adjustRightInd w:val="0"/>
        <w:rPr>
          <w:lang w:eastAsia="en-AU"/>
        </w:rPr>
      </w:pPr>
      <w:r w:rsidRPr="00946180">
        <w:rPr>
          <w:lang w:eastAsia="en-AU"/>
        </w:rPr>
        <w:t>To ensure the processes of selection of students into the program is thorough</w:t>
      </w:r>
    </w:p>
    <w:p w14:paraId="7DF7D3BD" w14:textId="77777777" w:rsidR="00946180" w:rsidRPr="00946180" w:rsidRDefault="00946180" w:rsidP="00946180">
      <w:pPr>
        <w:numPr>
          <w:ilvl w:val="0"/>
          <w:numId w:val="7"/>
        </w:numPr>
        <w:autoSpaceDE w:val="0"/>
        <w:autoSpaceDN w:val="0"/>
        <w:adjustRightInd w:val="0"/>
        <w:rPr>
          <w:lang w:eastAsia="en-AU"/>
        </w:rPr>
      </w:pPr>
      <w:r w:rsidRPr="00946180">
        <w:rPr>
          <w:lang w:eastAsia="en-AU"/>
        </w:rPr>
        <w:t>To guide transition of students from the mainstream program into the SEAL program</w:t>
      </w:r>
    </w:p>
    <w:p w14:paraId="27830421" w14:textId="77777777" w:rsidR="00946180" w:rsidRPr="00946180" w:rsidRDefault="00946180" w:rsidP="00946180">
      <w:pPr>
        <w:numPr>
          <w:ilvl w:val="0"/>
          <w:numId w:val="7"/>
        </w:numPr>
        <w:autoSpaceDE w:val="0"/>
        <w:autoSpaceDN w:val="0"/>
        <w:adjustRightInd w:val="0"/>
        <w:rPr>
          <w:lang w:eastAsia="en-AU"/>
        </w:rPr>
      </w:pPr>
      <w:r w:rsidRPr="00946180">
        <w:rPr>
          <w:lang w:eastAsia="en-AU"/>
        </w:rPr>
        <w:t>To guide transition of students from the SEAL program into the mainstream program to suit the learning and wellbeing needs of the student.</w:t>
      </w:r>
    </w:p>
    <w:p w14:paraId="6842333D" w14:textId="77777777" w:rsidR="00946180" w:rsidRPr="00946180" w:rsidRDefault="00946180" w:rsidP="00946180">
      <w:pPr>
        <w:ind w:left="1069"/>
        <w:jc w:val="both"/>
        <w:rPr>
          <w:lang w:eastAsia="en-AU"/>
        </w:rPr>
      </w:pPr>
    </w:p>
    <w:p w14:paraId="4EB48F6A" w14:textId="77777777" w:rsidR="00946180" w:rsidRDefault="00946180" w:rsidP="00946180">
      <w:pPr>
        <w:autoSpaceDE w:val="0"/>
        <w:autoSpaceDN w:val="0"/>
        <w:adjustRightInd w:val="0"/>
        <w:rPr>
          <w:lang w:eastAsia="en-AU"/>
        </w:rPr>
      </w:pPr>
      <w:r w:rsidRPr="00946180">
        <w:rPr>
          <w:lang w:eastAsia="en-AU"/>
        </w:rPr>
        <w:t>The school aims:</w:t>
      </w:r>
    </w:p>
    <w:p w14:paraId="7FEEB0B1" w14:textId="77777777" w:rsidR="00946180" w:rsidRPr="00946180" w:rsidRDefault="00946180" w:rsidP="00946180">
      <w:pPr>
        <w:autoSpaceDE w:val="0"/>
        <w:autoSpaceDN w:val="0"/>
        <w:adjustRightInd w:val="0"/>
        <w:rPr>
          <w:lang w:eastAsia="en-AU"/>
        </w:rPr>
      </w:pPr>
    </w:p>
    <w:p w14:paraId="02FD78AE" w14:textId="77777777" w:rsidR="00946180" w:rsidRPr="00946180" w:rsidRDefault="00946180" w:rsidP="00946180">
      <w:pPr>
        <w:numPr>
          <w:ilvl w:val="0"/>
          <w:numId w:val="8"/>
        </w:numPr>
        <w:autoSpaceDE w:val="0"/>
        <w:autoSpaceDN w:val="0"/>
        <w:adjustRightInd w:val="0"/>
        <w:rPr>
          <w:lang w:eastAsia="en-AU"/>
        </w:rPr>
      </w:pPr>
      <w:r w:rsidRPr="00946180">
        <w:rPr>
          <w:lang w:eastAsia="en-AU"/>
        </w:rPr>
        <w:t xml:space="preserve">to help staff identify and assist </w:t>
      </w:r>
      <w:r w:rsidR="00DA701C">
        <w:rPr>
          <w:lang w:eastAsia="en-AU"/>
        </w:rPr>
        <w:t>higher ability students</w:t>
      </w:r>
    </w:p>
    <w:p w14:paraId="510B60C9" w14:textId="77777777" w:rsidR="00946180" w:rsidRPr="00946180" w:rsidRDefault="00946180" w:rsidP="00946180">
      <w:pPr>
        <w:numPr>
          <w:ilvl w:val="0"/>
          <w:numId w:val="8"/>
        </w:numPr>
        <w:autoSpaceDE w:val="0"/>
        <w:autoSpaceDN w:val="0"/>
        <w:adjustRightInd w:val="0"/>
        <w:rPr>
          <w:lang w:eastAsia="en-AU"/>
        </w:rPr>
      </w:pPr>
      <w:r w:rsidRPr="00946180">
        <w:rPr>
          <w:lang w:eastAsia="en-AU"/>
        </w:rPr>
        <w:t>to enable parents to understand the provision that is available</w:t>
      </w:r>
    </w:p>
    <w:p w14:paraId="3C8CD3FE" w14:textId="77777777" w:rsidR="00946180" w:rsidRPr="00946180" w:rsidRDefault="00946180" w:rsidP="00946180">
      <w:pPr>
        <w:numPr>
          <w:ilvl w:val="0"/>
          <w:numId w:val="8"/>
        </w:numPr>
        <w:autoSpaceDE w:val="0"/>
        <w:autoSpaceDN w:val="0"/>
        <w:adjustRightInd w:val="0"/>
        <w:rPr>
          <w:lang w:eastAsia="en-AU"/>
        </w:rPr>
      </w:pPr>
      <w:r w:rsidRPr="00946180">
        <w:rPr>
          <w:lang w:eastAsia="en-AU"/>
        </w:rPr>
        <w:t>to develop a consistency of approach within the school</w:t>
      </w:r>
    </w:p>
    <w:p w14:paraId="01AD8102" w14:textId="77777777" w:rsidR="00946180" w:rsidRPr="00946180" w:rsidRDefault="00946180" w:rsidP="00946180">
      <w:pPr>
        <w:numPr>
          <w:ilvl w:val="0"/>
          <w:numId w:val="8"/>
        </w:numPr>
        <w:autoSpaceDE w:val="0"/>
        <w:autoSpaceDN w:val="0"/>
        <w:adjustRightInd w:val="0"/>
        <w:rPr>
          <w:lang w:eastAsia="en-AU"/>
        </w:rPr>
      </w:pPr>
      <w:r w:rsidRPr="00946180">
        <w:rPr>
          <w:lang w:eastAsia="en-AU"/>
        </w:rPr>
        <w:t xml:space="preserve">to make catering for </w:t>
      </w:r>
      <w:r w:rsidR="00DA701C">
        <w:rPr>
          <w:lang w:eastAsia="en-AU"/>
        </w:rPr>
        <w:t>higher ability students</w:t>
      </w:r>
      <w:r w:rsidR="00DA701C" w:rsidRPr="00946180">
        <w:rPr>
          <w:lang w:eastAsia="en-AU"/>
        </w:rPr>
        <w:t xml:space="preserve"> </w:t>
      </w:r>
      <w:r w:rsidRPr="00946180">
        <w:rPr>
          <w:lang w:eastAsia="en-AU"/>
        </w:rPr>
        <w:t>an integral part of the school’s approach to teaching.</w:t>
      </w:r>
    </w:p>
    <w:p w14:paraId="783AD302" w14:textId="77777777" w:rsidR="00554FF5" w:rsidRPr="006A76BE" w:rsidRDefault="00554FF5" w:rsidP="00554FF5">
      <w:pPr>
        <w:jc w:val="both"/>
      </w:pPr>
    </w:p>
    <w:p w14:paraId="03BDF728" w14:textId="77777777" w:rsidR="00554FF5" w:rsidRDefault="00946180" w:rsidP="00554FF5">
      <w:pPr>
        <w:pStyle w:val="Heading2"/>
        <w:spacing w:after="240" w:line="240" w:lineRule="auto"/>
        <w:jc w:val="both"/>
        <w:rPr>
          <w:b/>
          <w:caps/>
          <w:color w:val="4F81BD" w:themeColor="accent1"/>
        </w:rPr>
      </w:pPr>
      <w:r>
        <w:rPr>
          <w:b/>
          <w:caps/>
          <w:color w:val="4F81BD" w:themeColor="accent1"/>
        </w:rPr>
        <w:t>IMPLEMENTATION</w:t>
      </w:r>
    </w:p>
    <w:p w14:paraId="29BF74A7" w14:textId="44790C41" w:rsidR="00946180" w:rsidRPr="00946180" w:rsidRDefault="00946180" w:rsidP="00946180">
      <w:pPr>
        <w:numPr>
          <w:ilvl w:val="0"/>
          <w:numId w:val="12"/>
        </w:numPr>
        <w:shd w:val="clear" w:color="auto" w:fill="FFFFFF"/>
        <w:spacing w:before="100" w:beforeAutospacing="1" w:after="100" w:afterAutospacing="1"/>
        <w:rPr>
          <w:color w:val="333333"/>
          <w:lang w:eastAsia="en-AU"/>
        </w:rPr>
      </w:pPr>
      <w:r w:rsidRPr="00946180">
        <w:rPr>
          <w:rFonts w:eastAsia="Calibri"/>
          <w:lang w:eastAsia="en-AU"/>
        </w:rPr>
        <w:t xml:space="preserve">Promotion and publicity for the Emerald Secondary College SEAL program will take place during Term 1and early term 2. Advertisement in the local Newspaper to reach the wider community will </w:t>
      </w:r>
      <w:r w:rsidRPr="00946180">
        <w:rPr>
          <w:rFonts w:eastAsia="Calibri"/>
          <w:lang w:eastAsia="en-AU"/>
        </w:rPr>
        <w:lastRenderedPageBreak/>
        <w:t xml:space="preserve">be placed with key dates and processes.  A SEAL information evening </w:t>
      </w:r>
      <w:r w:rsidR="00C865A9">
        <w:rPr>
          <w:rFonts w:eastAsia="Calibri"/>
          <w:lang w:eastAsia="en-AU"/>
        </w:rPr>
        <w:t>may</w:t>
      </w:r>
      <w:r w:rsidRPr="00946180">
        <w:rPr>
          <w:rFonts w:eastAsia="Calibri"/>
          <w:lang w:eastAsia="en-AU"/>
        </w:rPr>
        <w:t xml:space="preserve"> be held in term one for prospective SEAL families. Feeder primary schools will be targeted with brochures, posters and newsletter articles, as well as recommendations requested from grade 6 primary teachers.</w:t>
      </w:r>
    </w:p>
    <w:p w14:paraId="30EAEA35" w14:textId="77777777" w:rsidR="00946180" w:rsidRPr="00946180" w:rsidRDefault="00946180" w:rsidP="00946180">
      <w:pPr>
        <w:shd w:val="clear" w:color="auto" w:fill="FFFFFF"/>
        <w:spacing w:before="100" w:beforeAutospacing="1"/>
        <w:ind w:left="786"/>
        <w:rPr>
          <w:color w:val="333333"/>
          <w:lang w:eastAsia="en-AU"/>
        </w:rPr>
      </w:pPr>
    </w:p>
    <w:p w14:paraId="3F27CE4B" w14:textId="77777777" w:rsidR="00946180" w:rsidRPr="00946180" w:rsidRDefault="00946180" w:rsidP="00946180">
      <w:pPr>
        <w:numPr>
          <w:ilvl w:val="0"/>
          <w:numId w:val="12"/>
        </w:numPr>
        <w:shd w:val="clear" w:color="auto" w:fill="FFFFFF"/>
        <w:spacing w:before="100" w:beforeAutospacing="1" w:after="100" w:afterAutospacing="1"/>
        <w:ind w:left="709" w:hanging="283"/>
        <w:contextualSpacing/>
        <w:rPr>
          <w:lang w:eastAsia="en-AU"/>
        </w:rPr>
      </w:pPr>
      <w:r w:rsidRPr="00946180">
        <w:rPr>
          <w:lang w:eastAsia="en-AU"/>
        </w:rPr>
        <w:t xml:space="preserve">In-line with </w:t>
      </w:r>
      <w:r w:rsidR="00D311B6">
        <w:rPr>
          <w:lang w:eastAsia="en-AU"/>
        </w:rPr>
        <w:t>DET</w:t>
      </w:r>
      <w:r w:rsidRPr="00946180">
        <w:rPr>
          <w:lang w:eastAsia="en-AU"/>
        </w:rPr>
        <w:t xml:space="preserve"> expectations students will be invited to join the Emerald Secondary College SEAL Program after students and families have completed the following college expectations;</w:t>
      </w:r>
    </w:p>
    <w:p w14:paraId="7521E152" w14:textId="77777777" w:rsidR="00946180" w:rsidRPr="00946180" w:rsidRDefault="00946180" w:rsidP="00946180">
      <w:pPr>
        <w:shd w:val="clear" w:color="auto" w:fill="FFFFFF"/>
        <w:spacing w:before="100" w:beforeAutospacing="1" w:after="100" w:afterAutospacing="1"/>
        <w:contextualSpacing/>
        <w:rPr>
          <w:lang w:eastAsia="en-AU"/>
        </w:rPr>
      </w:pPr>
    </w:p>
    <w:p w14:paraId="2FCDEAF8" w14:textId="77777777" w:rsidR="00946180" w:rsidRPr="00946180" w:rsidRDefault="00946180" w:rsidP="00946180">
      <w:pPr>
        <w:numPr>
          <w:ilvl w:val="0"/>
          <w:numId w:val="9"/>
        </w:numPr>
        <w:shd w:val="clear" w:color="auto" w:fill="FFFFFF"/>
        <w:spacing w:before="100" w:beforeAutospacing="1" w:after="100" w:afterAutospacing="1"/>
        <w:contextualSpacing/>
        <w:rPr>
          <w:lang w:eastAsia="en-AU"/>
        </w:rPr>
      </w:pPr>
      <w:r w:rsidRPr="00946180">
        <w:rPr>
          <w:lang w:eastAsia="en-AU"/>
        </w:rPr>
        <w:t>Fully completed written application and examination fee including the applicant’s Year 5 NAPLAN report and most recent school report.</w:t>
      </w:r>
    </w:p>
    <w:p w14:paraId="09BC0064" w14:textId="77777777" w:rsidR="00946180" w:rsidRPr="00946180" w:rsidRDefault="00946180" w:rsidP="00946180">
      <w:pPr>
        <w:numPr>
          <w:ilvl w:val="0"/>
          <w:numId w:val="9"/>
        </w:numPr>
        <w:shd w:val="clear" w:color="auto" w:fill="FFFFFF"/>
        <w:spacing w:before="100" w:beforeAutospacing="1" w:after="100" w:afterAutospacing="1"/>
        <w:contextualSpacing/>
        <w:rPr>
          <w:lang w:eastAsia="en-AU"/>
        </w:rPr>
      </w:pPr>
      <w:r w:rsidRPr="00946180">
        <w:rPr>
          <w:lang w:eastAsia="en-AU"/>
        </w:rPr>
        <w:t>Attend and complete the college entrance examination.</w:t>
      </w:r>
    </w:p>
    <w:p w14:paraId="0C67BD12" w14:textId="72D7E80F" w:rsidR="00946180" w:rsidRDefault="00946180" w:rsidP="00946180">
      <w:pPr>
        <w:numPr>
          <w:ilvl w:val="0"/>
          <w:numId w:val="9"/>
        </w:numPr>
        <w:shd w:val="clear" w:color="auto" w:fill="FFFFFF"/>
        <w:spacing w:before="100" w:beforeAutospacing="1" w:after="100" w:afterAutospacing="1"/>
        <w:contextualSpacing/>
        <w:rPr>
          <w:lang w:eastAsia="en-AU"/>
        </w:rPr>
      </w:pPr>
      <w:r w:rsidRPr="00946180">
        <w:rPr>
          <w:lang w:eastAsia="en-AU"/>
        </w:rPr>
        <w:t>Following the ranking results of the entrance exam in conjunction with the application, NAPLAN report and previous school report highly qualified candidates will be invited to attend an interview where educational aspirations and attitudes to learning will be taken into consideration</w:t>
      </w:r>
    </w:p>
    <w:p w14:paraId="5FEE8E78" w14:textId="42B1E36D" w:rsidR="00C865A9" w:rsidRPr="00946180" w:rsidRDefault="00C865A9" w:rsidP="00946180">
      <w:pPr>
        <w:numPr>
          <w:ilvl w:val="0"/>
          <w:numId w:val="9"/>
        </w:numPr>
        <w:shd w:val="clear" w:color="auto" w:fill="FFFFFF"/>
        <w:spacing w:before="100" w:beforeAutospacing="1" w:after="100" w:afterAutospacing="1"/>
        <w:contextualSpacing/>
        <w:rPr>
          <w:lang w:eastAsia="en-AU"/>
        </w:rPr>
      </w:pPr>
      <w:r>
        <w:rPr>
          <w:lang w:eastAsia="en-AU"/>
        </w:rPr>
        <w:t>After the DET approved confirmation of enrolment date</w:t>
      </w:r>
    </w:p>
    <w:p w14:paraId="02CD0C9F" w14:textId="77777777" w:rsidR="00946180" w:rsidRPr="00946180" w:rsidRDefault="00946180" w:rsidP="00946180">
      <w:pPr>
        <w:shd w:val="clear" w:color="auto" w:fill="FFFFFF"/>
        <w:spacing w:before="100" w:beforeAutospacing="1" w:after="100" w:afterAutospacing="1"/>
        <w:ind w:left="1069"/>
        <w:contextualSpacing/>
        <w:rPr>
          <w:lang w:eastAsia="en-AU"/>
        </w:rPr>
      </w:pPr>
    </w:p>
    <w:tbl>
      <w:tblPr>
        <w:tblW w:w="4580" w:type="pct"/>
        <w:tblInd w:w="546" w:type="dxa"/>
        <w:tblCellMar>
          <w:top w:w="15" w:type="dxa"/>
          <w:left w:w="15" w:type="dxa"/>
          <w:bottom w:w="15" w:type="dxa"/>
          <w:right w:w="15" w:type="dxa"/>
        </w:tblCellMar>
        <w:tblLook w:val="04A0" w:firstRow="1" w:lastRow="0" w:firstColumn="1" w:lastColumn="0" w:noHBand="0" w:noVBand="1"/>
      </w:tblPr>
      <w:tblGrid>
        <w:gridCol w:w="1672"/>
        <w:gridCol w:w="1652"/>
        <w:gridCol w:w="6223"/>
      </w:tblGrid>
      <w:tr w:rsidR="00946180" w:rsidRPr="00946180" w14:paraId="5C9FB987" w14:textId="77777777" w:rsidTr="00DD0290">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0F69E244" w14:textId="77777777" w:rsidR="00946180" w:rsidRPr="00946180" w:rsidRDefault="00946180" w:rsidP="00DD0290">
            <w:pPr>
              <w:spacing w:before="100" w:beforeAutospacing="1" w:after="100" w:afterAutospacing="1"/>
              <w:jc w:val="center"/>
              <w:rPr>
                <w:b/>
                <w:bCs/>
                <w:lang w:eastAsia="en-AU"/>
              </w:rPr>
            </w:pPr>
            <w:r w:rsidRPr="00946180">
              <w:rPr>
                <w:b/>
                <w:bCs/>
                <w:lang w:eastAsia="en-AU"/>
              </w:rPr>
              <w:t>Criteria</w:t>
            </w:r>
          </w:p>
        </w:tc>
        <w:tc>
          <w:tcPr>
            <w:tcW w:w="865"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6C1A0E83" w14:textId="77777777" w:rsidR="00946180" w:rsidRPr="00946180" w:rsidRDefault="00946180" w:rsidP="00DD0290">
            <w:pPr>
              <w:spacing w:before="100" w:beforeAutospacing="1" w:after="100" w:afterAutospacing="1"/>
              <w:jc w:val="center"/>
              <w:rPr>
                <w:b/>
                <w:bCs/>
                <w:lang w:eastAsia="en-AU"/>
              </w:rPr>
            </w:pPr>
            <w:r w:rsidRPr="00946180">
              <w:rPr>
                <w:b/>
                <w:bCs/>
                <w:lang w:eastAsia="en-AU"/>
              </w:rPr>
              <w:t>Proportion of places</w:t>
            </w:r>
          </w:p>
        </w:tc>
        <w:tc>
          <w:tcPr>
            <w:tcW w:w="3259"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14:paraId="3EABB731" w14:textId="77777777" w:rsidR="00946180" w:rsidRPr="00946180" w:rsidRDefault="00946180" w:rsidP="00DD0290">
            <w:pPr>
              <w:spacing w:before="100" w:beforeAutospacing="1" w:after="100" w:afterAutospacing="1"/>
              <w:jc w:val="center"/>
              <w:rPr>
                <w:b/>
                <w:bCs/>
                <w:lang w:eastAsia="en-AU"/>
              </w:rPr>
            </w:pPr>
            <w:r w:rsidRPr="00946180">
              <w:rPr>
                <w:b/>
                <w:bCs/>
                <w:lang w:eastAsia="en-AU"/>
              </w:rPr>
              <w:t>Description</w:t>
            </w:r>
          </w:p>
        </w:tc>
      </w:tr>
      <w:tr w:rsidR="00946180" w:rsidRPr="00946180" w14:paraId="37B9CFED" w14:textId="77777777" w:rsidTr="00DD0290">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69D4B01" w14:textId="77777777" w:rsidR="00946180" w:rsidRPr="00946180" w:rsidRDefault="00946180" w:rsidP="00DD0290">
            <w:pPr>
              <w:spacing w:before="100" w:beforeAutospacing="1" w:after="100" w:afterAutospacing="1"/>
              <w:rPr>
                <w:lang w:eastAsia="en-AU"/>
              </w:rPr>
            </w:pPr>
            <w:r w:rsidRPr="00946180">
              <w:rPr>
                <w:lang w:eastAsia="en-AU"/>
              </w:rPr>
              <w:t>Academic Merit</w:t>
            </w:r>
          </w:p>
        </w:tc>
        <w:tc>
          <w:tcPr>
            <w:tcW w:w="865"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B5352D6" w14:textId="77777777" w:rsidR="00946180" w:rsidRPr="00946180" w:rsidRDefault="00946180" w:rsidP="00DD0290">
            <w:pPr>
              <w:spacing w:before="100" w:beforeAutospacing="1" w:after="100" w:afterAutospacing="1"/>
              <w:rPr>
                <w:lang w:eastAsia="en-AU"/>
              </w:rPr>
            </w:pPr>
            <w:r w:rsidRPr="00946180">
              <w:rPr>
                <w:lang w:eastAsia="en-AU"/>
              </w:rPr>
              <w:t>At least 85%</w:t>
            </w:r>
          </w:p>
        </w:tc>
        <w:tc>
          <w:tcPr>
            <w:tcW w:w="3259"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169D9DC2" w14:textId="77777777" w:rsidR="00946180" w:rsidRPr="00946180" w:rsidRDefault="00946180" w:rsidP="00DD0290">
            <w:pPr>
              <w:spacing w:before="100" w:beforeAutospacing="1" w:after="100" w:afterAutospacing="1"/>
              <w:rPr>
                <w:lang w:eastAsia="en-AU"/>
              </w:rPr>
            </w:pPr>
            <w:r w:rsidRPr="00946180">
              <w:rPr>
                <w:lang w:eastAsia="en-AU"/>
              </w:rPr>
              <w:t>Entrance exams from Year 6 students are scored and ranked in order of performance in the exam. </w:t>
            </w:r>
          </w:p>
        </w:tc>
      </w:tr>
      <w:tr w:rsidR="00946180" w:rsidRPr="00946180" w14:paraId="5088E090" w14:textId="77777777" w:rsidTr="00DD0290">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6E6A96A1" w14:textId="77777777" w:rsidR="00946180" w:rsidRPr="00946180" w:rsidRDefault="00946180" w:rsidP="00DD0290">
            <w:pPr>
              <w:spacing w:before="100" w:beforeAutospacing="1" w:after="100" w:afterAutospacing="1"/>
              <w:rPr>
                <w:lang w:eastAsia="en-AU"/>
              </w:rPr>
            </w:pPr>
            <w:r w:rsidRPr="00946180">
              <w:rPr>
                <w:lang w:eastAsia="en-AU"/>
              </w:rPr>
              <w:t>Equity</w:t>
            </w:r>
          </w:p>
        </w:tc>
        <w:tc>
          <w:tcPr>
            <w:tcW w:w="865"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0A218F09" w14:textId="77777777" w:rsidR="00946180" w:rsidRPr="00946180" w:rsidRDefault="00946180" w:rsidP="00DD0290">
            <w:pPr>
              <w:spacing w:before="100" w:beforeAutospacing="1" w:after="100" w:afterAutospacing="1"/>
              <w:rPr>
                <w:lang w:eastAsia="en-AU"/>
              </w:rPr>
            </w:pPr>
            <w:r w:rsidRPr="00946180">
              <w:rPr>
                <w:lang w:eastAsia="en-AU"/>
              </w:rPr>
              <w:t>Up to 10%</w:t>
            </w:r>
          </w:p>
        </w:tc>
        <w:tc>
          <w:tcPr>
            <w:tcW w:w="3259"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4478F927" w14:textId="77777777" w:rsidR="00946180" w:rsidRPr="00946180" w:rsidRDefault="00946180" w:rsidP="00DD0290">
            <w:pPr>
              <w:rPr>
                <w:rFonts w:eastAsia="Calibri"/>
                <w:lang w:eastAsia="en-AU"/>
              </w:rPr>
            </w:pPr>
            <w:r w:rsidRPr="00946180">
              <w:rPr>
                <w:rFonts w:eastAsia="Calibri"/>
                <w:lang w:eastAsia="en-AU"/>
              </w:rPr>
              <w:t>Grounds for equity consideration are:</w:t>
            </w:r>
          </w:p>
          <w:p w14:paraId="6FFB1F70" w14:textId="77777777" w:rsidR="00946180" w:rsidRPr="00946180" w:rsidRDefault="00946180" w:rsidP="00946180">
            <w:pPr>
              <w:numPr>
                <w:ilvl w:val="0"/>
                <w:numId w:val="10"/>
              </w:numPr>
              <w:rPr>
                <w:rFonts w:eastAsia="Calibri"/>
                <w:lang w:eastAsia="en-AU"/>
              </w:rPr>
            </w:pPr>
            <w:r w:rsidRPr="00946180">
              <w:rPr>
                <w:rFonts w:eastAsia="Calibri"/>
                <w:lang w:eastAsia="en-AU"/>
              </w:rPr>
              <w:t>Aboriginal or Torres Strait Islander status</w:t>
            </w:r>
          </w:p>
          <w:p w14:paraId="0FF1F677" w14:textId="77777777" w:rsidR="00946180" w:rsidRPr="00946180" w:rsidRDefault="00946180" w:rsidP="00946180">
            <w:pPr>
              <w:numPr>
                <w:ilvl w:val="0"/>
                <w:numId w:val="10"/>
              </w:numPr>
              <w:rPr>
                <w:rFonts w:eastAsia="Calibri"/>
                <w:lang w:eastAsia="en-AU"/>
              </w:rPr>
            </w:pPr>
            <w:r w:rsidRPr="00946180">
              <w:rPr>
                <w:rFonts w:eastAsia="Calibri"/>
                <w:lang w:eastAsia="en-AU"/>
              </w:rPr>
              <w:t>Holders of Health Care or Pensioner cards.</w:t>
            </w:r>
          </w:p>
        </w:tc>
      </w:tr>
      <w:tr w:rsidR="00946180" w:rsidRPr="00946180" w14:paraId="7E867F5B" w14:textId="77777777" w:rsidTr="00DD0290">
        <w:tc>
          <w:tcPr>
            <w:tcW w:w="0" w:type="auto"/>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2E1BCA08" w14:textId="77777777" w:rsidR="00946180" w:rsidRPr="00946180" w:rsidRDefault="00946180" w:rsidP="00DD0290">
            <w:pPr>
              <w:spacing w:before="100" w:beforeAutospacing="1" w:after="100" w:afterAutospacing="1"/>
              <w:rPr>
                <w:lang w:eastAsia="en-AU"/>
              </w:rPr>
            </w:pPr>
            <w:r w:rsidRPr="00946180">
              <w:rPr>
                <w:lang w:eastAsia="en-AU"/>
              </w:rPr>
              <w:t>Principal and College discretion</w:t>
            </w:r>
          </w:p>
        </w:tc>
        <w:tc>
          <w:tcPr>
            <w:tcW w:w="865"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B2266F3" w14:textId="77777777" w:rsidR="00946180" w:rsidRPr="00946180" w:rsidRDefault="00946180" w:rsidP="00DD0290">
            <w:pPr>
              <w:spacing w:before="100" w:beforeAutospacing="1" w:after="100" w:afterAutospacing="1"/>
              <w:rPr>
                <w:lang w:eastAsia="en-AU"/>
              </w:rPr>
            </w:pPr>
            <w:r w:rsidRPr="00946180">
              <w:rPr>
                <w:lang w:eastAsia="en-AU"/>
              </w:rPr>
              <w:t>Up to 5%</w:t>
            </w:r>
          </w:p>
        </w:tc>
        <w:tc>
          <w:tcPr>
            <w:tcW w:w="3259" w:type="pct"/>
            <w:tcBorders>
              <w:top w:val="single" w:sz="6" w:space="0" w:color="DDDDDD"/>
              <w:left w:val="single" w:sz="6" w:space="0" w:color="DDDDDD"/>
              <w:bottom w:val="single" w:sz="6" w:space="0" w:color="DDDDDD"/>
              <w:right w:val="single" w:sz="6" w:space="0" w:color="DDDDDD"/>
            </w:tcBorders>
            <w:tcMar>
              <w:top w:w="120" w:type="dxa"/>
              <w:left w:w="120" w:type="dxa"/>
              <w:bottom w:w="120" w:type="dxa"/>
              <w:right w:w="120" w:type="dxa"/>
            </w:tcMar>
            <w:hideMark/>
          </w:tcPr>
          <w:p w14:paraId="71D47481" w14:textId="77777777" w:rsidR="00946180" w:rsidRPr="00946180" w:rsidRDefault="00946180" w:rsidP="00DD0290">
            <w:pPr>
              <w:rPr>
                <w:rFonts w:eastAsia="Calibri"/>
                <w:lang w:eastAsia="en-AU"/>
              </w:rPr>
            </w:pPr>
            <w:r w:rsidRPr="00946180">
              <w:rPr>
                <w:rFonts w:eastAsia="Calibri"/>
                <w:lang w:eastAsia="en-AU"/>
              </w:rPr>
              <w:t>The College compiles a possible selection list based on the academic performance and written application as well as the interview and perceived aspirations and attitude to learning.</w:t>
            </w:r>
          </w:p>
        </w:tc>
      </w:tr>
    </w:tbl>
    <w:p w14:paraId="08D0C810" w14:textId="77777777" w:rsidR="00946180" w:rsidRPr="00946180" w:rsidRDefault="00946180" w:rsidP="00946180">
      <w:pPr>
        <w:ind w:left="426"/>
        <w:rPr>
          <w:rFonts w:eastAsia="Calibri"/>
          <w:lang w:eastAsia="en-AU"/>
        </w:rPr>
      </w:pPr>
    </w:p>
    <w:p w14:paraId="4C97C6FB" w14:textId="77777777" w:rsidR="00946180" w:rsidRPr="00946180" w:rsidRDefault="00946180" w:rsidP="00946180">
      <w:pPr>
        <w:ind w:left="426"/>
        <w:rPr>
          <w:rFonts w:eastAsia="Calibri"/>
          <w:lang w:eastAsia="en-AU"/>
        </w:rPr>
      </w:pPr>
      <w:r w:rsidRPr="00946180">
        <w:rPr>
          <w:rFonts w:eastAsia="Calibri"/>
          <w:lang w:eastAsia="en-AU"/>
        </w:rPr>
        <w:t>3. Future promotion into the Emerald Secondary College SEAL Program after the initial Year 6 placement for Years 7, 8 and 9 will be determined by a combination of academic results, teacher recommendation, testing and an interview conducted by the SEAL coordinator.</w:t>
      </w:r>
    </w:p>
    <w:p w14:paraId="75B97BB9" w14:textId="77777777" w:rsidR="00946180" w:rsidRPr="00946180" w:rsidRDefault="00946180" w:rsidP="00946180">
      <w:pPr>
        <w:ind w:left="426"/>
        <w:rPr>
          <w:rFonts w:eastAsia="Calibri"/>
          <w:lang w:eastAsia="en-AU"/>
        </w:rPr>
      </w:pPr>
    </w:p>
    <w:p w14:paraId="67CC61AA" w14:textId="77777777" w:rsidR="00946180" w:rsidRPr="00946180" w:rsidRDefault="00946180" w:rsidP="00946180">
      <w:pPr>
        <w:ind w:left="426"/>
        <w:rPr>
          <w:rFonts w:eastAsia="Calibri"/>
          <w:lang w:eastAsia="en-AU"/>
        </w:rPr>
      </w:pPr>
      <w:r w:rsidRPr="00946180">
        <w:rPr>
          <w:rFonts w:eastAsia="Calibri"/>
          <w:lang w:eastAsia="en-AU"/>
        </w:rPr>
        <w:t xml:space="preserve">4. </w:t>
      </w:r>
      <w:r w:rsidRPr="00946180">
        <w:rPr>
          <w:rFonts w:eastAsia="Calibri"/>
          <w:lang w:eastAsia="en-AU"/>
        </w:rPr>
        <w:tab/>
        <w:t xml:space="preserve">Future changes Emerald Secondary College SEAL Program are entirely at the College discretion. </w:t>
      </w:r>
    </w:p>
    <w:p w14:paraId="26CBA188" w14:textId="77777777" w:rsidR="00946180" w:rsidRPr="00946180" w:rsidRDefault="00946180" w:rsidP="00946180">
      <w:pPr>
        <w:pStyle w:val="Default"/>
        <w:ind w:left="426"/>
        <w:rPr>
          <w:rFonts w:ascii="Times New Roman" w:eastAsia="Calibri" w:hAnsi="Times New Roman" w:cs="Times New Roman"/>
        </w:rPr>
      </w:pPr>
    </w:p>
    <w:p w14:paraId="6D00B206" w14:textId="77777777" w:rsidR="00946180" w:rsidRPr="00946180" w:rsidRDefault="00946180" w:rsidP="00946180">
      <w:pPr>
        <w:pStyle w:val="Default"/>
        <w:ind w:left="426"/>
        <w:rPr>
          <w:rFonts w:ascii="Times New Roman" w:hAnsi="Times New Roman" w:cs="Times New Roman"/>
        </w:rPr>
      </w:pPr>
      <w:r w:rsidRPr="00946180">
        <w:rPr>
          <w:rFonts w:ascii="Times New Roman" w:eastAsia="Calibri" w:hAnsi="Times New Roman" w:cs="Times New Roman"/>
        </w:rPr>
        <w:t>5. Underperforming students in the SEAL Program will have their position reviewed.  Underperforming students are those students whose attitude and/or academic results across a number of subjects are deemed to be below the capabilities of the individual student.  Any student wishing to move out of the SEAL program (whether into a mainstream program or to attend a different educational setting) must attend an exit interview with their parents/guardian and the SEAL coordinator.</w:t>
      </w:r>
    </w:p>
    <w:p w14:paraId="4EBA854B" w14:textId="77777777" w:rsidR="00946180" w:rsidRPr="00946180" w:rsidRDefault="00946180" w:rsidP="00946180">
      <w:pPr>
        <w:ind w:left="426"/>
        <w:rPr>
          <w:rFonts w:eastAsia="Calibri"/>
          <w:lang w:eastAsia="en-AU"/>
        </w:rPr>
      </w:pPr>
    </w:p>
    <w:p w14:paraId="6498647D" w14:textId="77777777" w:rsidR="00946180" w:rsidRPr="00946180" w:rsidRDefault="00946180" w:rsidP="00946180">
      <w:pPr>
        <w:ind w:left="426"/>
        <w:rPr>
          <w:rFonts w:eastAsia="Calibri"/>
          <w:lang w:eastAsia="en-AU"/>
        </w:rPr>
      </w:pPr>
      <w:r w:rsidRPr="00946180">
        <w:rPr>
          <w:rFonts w:eastAsia="Calibri"/>
          <w:lang w:eastAsia="en-AU"/>
        </w:rPr>
        <w:t>6.</w:t>
      </w:r>
      <w:r w:rsidRPr="00946180">
        <w:rPr>
          <w:rFonts w:eastAsia="Calibri"/>
          <w:lang w:eastAsia="en-AU"/>
        </w:rPr>
        <w:tab/>
        <w:t>Students moved out of the program after the initial Year 6 placement will be determined by a combination of;</w:t>
      </w:r>
    </w:p>
    <w:p w14:paraId="4553EBDF" w14:textId="77777777" w:rsidR="00946180" w:rsidRPr="00946180" w:rsidRDefault="00946180" w:rsidP="00946180">
      <w:pPr>
        <w:ind w:left="426"/>
        <w:rPr>
          <w:rFonts w:eastAsia="Calibri"/>
          <w:lang w:eastAsia="en-AU"/>
        </w:rPr>
      </w:pPr>
    </w:p>
    <w:p w14:paraId="3F8CA965" w14:textId="77777777" w:rsidR="00946180" w:rsidRPr="00946180" w:rsidRDefault="00946180" w:rsidP="00946180">
      <w:pPr>
        <w:numPr>
          <w:ilvl w:val="0"/>
          <w:numId w:val="11"/>
        </w:numPr>
        <w:rPr>
          <w:rFonts w:eastAsia="Calibri"/>
          <w:lang w:eastAsia="en-AU"/>
        </w:rPr>
      </w:pPr>
      <w:r w:rsidRPr="00946180">
        <w:rPr>
          <w:rFonts w:eastAsia="Calibri"/>
          <w:lang w:eastAsia="en-AU"/>
        </w:rPr>
        <w:t>End of Term or Semester teacher assessment where student’s academic achievement in two or more subjects fall in-line or below State expectations and below the SEAL program expectations where students should be working 6-12 months ahead of State expectations.</w:t>
      </w:r>
    </w:p>
    <w:p w14:paraId="124B6A4D" w14:textId="77777777" w:rsidR="00946180" w:rsidRPr="00946180" w:rsidRDefault="00946180" w:rsidP="00946180">
      <w:pPr>
        <w:numPr>
          <w:ilvl w:val="0"/>
          <w:numId w:val="11"/>
        </w:numPr>
        <w:rPr>
          <w:rFonts w:eastAsia="Calibri"/>
          <w:lang w:eastAsia="en-AU"/>
        </w:rPr>
      </w:pPr>
      <w:r w:rsidRPr="00946180">
        <w:rPr>
          <w:rFonts w:eastAsia="Calibri"/>
          <w:lang w:eastAsia="en-AU"/>
        </w:rPr>
        <w:t>On-Demand</w:t>
      </w:r>
      <w:r w:rsidR="00DA701C">
        <w:rPr>
          <w:rFonts w:eastAsia="Calibri"/>
          <w:lang w:eastAsia="en-AU"/>
        </w:rPr>
        <w:t xml:space="preserve"> PAT</w:t>
      </w:r>
      <w:r w:rsidRPr="00946180">
        <w:rPr>
          <w:rFonts w:eastAsia="Calibri"/>
          <w:lang w:eastAsia="en-AU"/>
        </w:rPr>
        <w:t xml:space="preserve"> testing showing students to be working below, at or close to State Expectations</w:t>
      </w:r>
    </w:p>
    <w:p w14:paraId="7239C0F2" w14:textId="77777777" w:rsidR="00946180" w:rsidRPr="00946180" w:rsidRDefault="00946180" w:rsidP="00946180">
      <w:pPr>
        <w:numPr>
          <w:ilvl w:val="0"/>
          <w:numId w:val="11"/>
        </w:numPr>
        <w:rPr>
          <w:rFonts w:eastAsia="Calibri"/>
          <w:lang w:eastAsia="en-AU"/>
        </w:rPr>
      </w:pPr>
      <w:r w:rsidRPr="00946180">
        <w:rPr>
          <w:rFonts w:eastAsia="Calibri"/>
          <w:lang w:eastAsia="en-AU"/>
        </w:rPr>
        <w:lastRenderedPageBreak/>
        <w:t>Teacher recommendations that show students exhibit a low or poor attitude to learning. This includes study skills, independent study, homework and classroom behaviour</w:t>
      </w:r>
    </w:p>
    <w:p w14:paraId="2CABEDDD" w14:textId="77777777" w:rsidR="00946180" w:rsidRPr="00946180" w:rsidRDefault="00946180" w:rsidP="00946180">
      <w:pPr>
        <w:ind w:left="426" w:hanging="426"/>
        <w:rPr>
          <w:rFonts w:eastAsia="Calibri"/>
          <w:lang w:eastAsia="en-AU"/>
        </w:rPr>
      </w:pPr>
      <w:r w:rsidRPr="00946180">
        <w:rPr>
          <w:rFonts w:eastAsia="Calibri"/>
          <w:lang w:eastAsia="en-AU"/>
        </w:rPr>
        <w:t xml:space="preserve">      </w:t>
      </w:r>
    </w:p>
    <w:p w14:paraId="5AD10B21" w14:textId="77777777" w:rsidR="00946180" w:rsidRPr="00946180" w:rsidRDefault="00946180" w:rsidP="00946180">
      <w:pPr>
        <w:pStyle w:val="Default"/>
        <w:ind w:left="426"/>
        <w:rPr>
          <w:rFonts w:ascii="Times New Roman" w:hAnsi="Times New Roman" w:cs="Times New Roman"/>
        </w:rPr>
      </w:pPr>
      <w:r w:rsidRPr="00946180">
        <w:rPr>
          <w:rFonts w:ascii="Times New Roman" w:eastAsia="Calibri" w:hAnsi="Times New Roman" w:cs="Times New Roman"/>
        </w:rPr>
        <w:t xml:space="preserve"> Where a student is perceived to be underperforming the SEAL Coordinator, along with the Head of Junior School or the Assistant Principal will interview the parents and child.  The child will be given the opportunity to improve.  If there is insufficient improvement after a determined time, the SEAL Coordinator will </w:t>
      </w:r>
      <w:r w:rsidRPr="00946180">
        <w:rPr>
          <w:rFonts w:ascii="Times New Roman" w:hAnsi="Times New Roman" w:cs="Times New Roman"/>
        </w:rPr>
        <w:t xml:space="preserve">make recommendation for a student to discontinue in the program to the Principal. The decision of the Principal will be final. </w:t>
      </w:r>
    </w:p>
    <w:p w14:paraId="20A4D4A5" w14:textId="77777777" w:rsidR="00946180" w:rsidRPr="00946180" w:rsidRDefault="00946180" w:rsidP="00946180">
      <w:pPr>
        <w:ind w:left="426"/>
        <w:rPr>
          <w:rFonts w:eastAsia="Calibri"/>
          <w:lang w:eastAsia="en-AU"/>
        </w:rPr>
      </w:pPr>
    </w:p>
    <w:p w14:paraId="6E7E87BE" w14:textId="77777777" w:rsidR="00946180" w:rsidRPr="00946180" w:rsidRDefault="00946180" w:rsidP="00946180">
      <w:pPr>
        <w:ind w:left="426"/>
        <w:rPr>
          <w:rFonts w:eastAsia="Calibri"/>
          <w:lang w:eastAsia="en-AU"/>
        </w:rPr>
      </w:pPr>
      <w:r w:rsidRPr="00946180">
        <w:rPr>
          <w:rFonts w:eastAsia="Calibri"/>
          <w:lang w:eastAsia="en-AU"/>
        </w:rPr>
        <w:t>6.</w:t>
      </w:r>
      <w:r w:rsidRPr="00946180">
        <w:rPr>
          <w:rFonts w:eastAsia="Calibri"/>
          <w:lang w:eastAsia="en-AU"/>
        </w:rPr>
        <w:tab/>
        <w:t>The SEAL Professional Learning Team of teachers will plan, execute and evaluate curriculum programs, new teaching practices and strategies. The team will organise “special activities” to cater for the particular academic and social needs of the SEAL students providing enrichment opportunities.</w:t>
      </w:r>
    </w:p>
    <w:p w14:paraId="072A8102" w14:textId="77777777" w:rsidR="00946180" w:rsidRPr="00946180" w:rsidRDefault="00946180" w:rsidP="00946180">
      <w:pPr>
        <w:ind w:left="426"/>
        <w:rPr>
          <w:rFonts w:eastAsia="Calibri"/>
          <w:lang w:eastAsia="en-AU"/>
        </w:rPr>
      </w:pPr>
    </w:p>
    <w:p w14:paraId="04A3DC4F" w14:textId="77777777" w:rsidR="00946180" w:rsidRPr="00946180" w:rsidRDefault="00946180" w:rsidP="00946180">
      <w:pPr>
        <w:ind w:left="426"/>
        <w:rPr>
          <w:rFonts w:eastAsia="Calibri"/>
          <w:lang w:eastAsia="en-AU"/>
        </w:rPr>
      </w:pPr>
      <w:r w:rsidRPr="00946180">
        <w:rPr>
          <w:rFonts w:eastAsia="Calibri"/>
          <w:lang w:eastAsia="en-AU"/>
        </w:rPr>
        <w:t>7.</w:t>
      </w:r>
      <w:r w:rsidRPr="00946180">
        <w:rPr>
          <w:rFonts w:eastAsia="Calibri"/>
          <w:lang w:eastAsia="en-AU"/>
        </w:rPr>
        <w:tab/>
        <w:t>All SEAL students are expected to become involved in a wide range of extra curricula activities and events, including Academic Competitions, the College music bands, Sports, Performing Arts, Community Service, Leadership and Public Speaking.</w:t>
      </w:r>
    </w:p>
    <w:p w14:paraId="1D47671E" w14:textId="77777777" w:rsidR="00946180" w:rsidRPr="00946180" w:rsidRDefault="00946180" w:rsidP="00946180">
      <w:pPr>
        <w:ind w:left="426"/>
        <w:rPr>
          <w:rFonts w:eastAsia="Calibri"/>
          <w:lang w:eastAsia="en-AU"/>
        </w:rPr>
      </w:pPr>
    </w:p>
    <w:p w14:paraId="574BA803" w14:textId="2797BE4B" w:rsidR="00946180" w:rsidRDefault="00946180" w:rsidP="00946180">
      <w:pPr>
        <w:ind w:left="426"/>
      </w:pPr>
      <w:r w:rsidRPr="00946180">
        <w:rPr>
          <w:rFonts w:eastAsia="Calibri"/>
          <w:lang w:eastAsia="en-AU"/>
        </w:rPr>
        <w:t xml:space="preserve">8.  </w:t>
      </w:r>
      <w:r w:rsidRPr="00946180">
        <w:t xml:space="preserve">Program evaluation will be managed through ongoing review; feedback will be sought from teachers, </w:t>
      </w:r>
      <w:proofErr w:type="gramStart"/>
      <w:r w:rsidRPr="00946180">
        <w:t>parents</w:t>
      </w:r>
      <w:proofErr w:type="gramEnd"/>
      <w:r w:rsidRPr="00946180">
        <w:t xml:space="preserve"> and students. </w:t>
      </w:r>
    </w:p>
    <w:p w14:paraId="67679732" w14:textId="77777777" w:rsidR="00EE06C0" w:rsidRDefault="00EE06C0" w:rsidP="00EE06C0"/>
    <w:p w14:paraId="598305DC" w14:textId="77777777" w:rsidR="00C865A9" w:rsidRPr="00715FA2" w:rsidRDefault="00C865A9" w:rsidP="00C865A9">
      <w:pPr>
        <w:rPr>
          <w:rFonts w:asciiTheme="majorHAnsi" w:eastAsiaTheme="majorEastAsia" w:hAnsiTheme="majorHAnsi" w:cstheme="majorBidi"/>
          <w:b/>
          <w:caps/>
          <w:color w:val="4F81BD" w:themeColor="accent1"/>
          <w:sz w:val="26"/>
          <w:szCs w:val="26"/>
        </w:rPr>
      </w:pPr>
      <w:r w:rsidRPr="00715FA2">
        <w:rPr>
          <w:rFonts w:asciiTheme="majorHAnsi" w:eastAsiaTheme="majorEastAsia" w:hAnsiTheme="majorHAnsi" w:cstheme="majorBidi"/>
          <w:b/>
          <w:caps/>
          <w:color w:val="4F81BD" w:themeColor="accent1"/>
          <w:sz w:val="26"/>
          <w:szCs w:val="26"/>
        </w:rPr>
        <w:t>COMMUNICATION</w:t>
      </w:r>
    </w:p>
    <w:p w14:paraId="12849D25" w14:textId="77777777" w:rsidR="00C865A9" w:rsidRPr="00715FA2" w:rsidRDefault="00C865A9" w:rsidP="00C865A9">
      <w:pPr>
        <w:rPr>
          <w:rFonts w:asciiTheme="majorHAnsi" w:eastAsiaTheme="majorEastAsia" w:hAnsiTheme="majorHAnsi" w:cstheme="majorBidi"/>
          <w:b/>
          <w:caps/>
          <w:color w:val="4F81BD" w:themeColor="accent1"/>
          <w:sz w:val="26"/>
          <w:szCs w:val="26"/>
        </w:rPr>
      </w:pPr>
    </w:p>
    <w:p w14:paraId="048D4E37" w14:textId="77777777" w:rsidR="00C865A9" w:rsidRPr="00715FA2" w:rsidRDefault="00C865A9" w:rsidP="00C865A9">
      <w:pPr>
        <w:jc w:val="both"/>
        <w:rPr>
          <w:rFonts w:eastAsia="Calibri"/>
          <w:color w:val="000000" w:themeColor="text1"/>
        </w:rPr>
      </w:pPr>
      <w:r w:rsidRPr="00715FA2">
        <w:rPr>
          <w:rFonts w:eastAsia="Calibri"/>
          <w:color w:val="000000" w:themeColor="text1"/>
        </w:rPr>
        <w:t>This policy will be communicated to our school community in the following ways:</w:t>
      </w:r>
    </w:p>
    <w:p w14:paraId="3BFE492E" w14:textId="77777777" w:rsidR="00C865A9" w:rsidRPr="00715FA2" w:rsidRDefault="00C865A9" w:rsidP="00C865A9">
      <w:pPr>
        <w:jc w:val="both"/>
        <w:rPr>
          <w:rFonts w:eastAsia="Calibri"/>
          <w:color w:val="000000" w:themeColor="text1"/>
        </w:rPr>
      </w:pPr>
    </w:p>
    <w:p w14:paraId="254A4234" w14:textId="77777777" w:rsidR="00C865A9" w:rsidRPr="00715FA2" w:rsidRDefault="00C865A9" w:rsidP="00C865A9">
      <w:pPr>
        <w:pStyle w:val="ListParagraph"/>
        <w:numPr>
          <w:ilvl w:val="0"/>
          <w:numId w:val="15"/>
        </w:numPr>
        <w:spacing w:after="160" w:line="259" w:lineRule="auto"/>
        <w:rPr>
          <w:rFonts w:eastAsiaTheme="minorEastAsia"/>
          <w:color w:val="000000" w:themeColor="text1"/>
          <w:sz w:val="18"/>
          <w:szCs w:val="18"/>
        </w:rPr>
      </w:pPr>
      <w:r w:rsidRPr="00715FA2">
        <w:t xml:space="preserve">Available publicly on our school’s website </w:t>
      </w:r>
    </w:p>
    <w:p w14:paraId="6BF40B2B" w14:textId="77777777" w:rsidR="00C865A9" w:rsidRDefault="00C865A9" w:rsidP="00C865A9">
      <w:pPr>
        <w:pStyle w:val="ListParagraph"/>
        <w:numPr>
          <w:ilvl w:val="0"/>
          <w:numId w:val="15"/>
        </w:numPr>
        <w:spacing w:after="160" w:line="257" w:lineRule="auto"/>
        <w:jc w:val="both"/>
        <w:rPr>
          <w:rFonts w:eastAsiaTheme="minorEastAsia"/>
        </w:rPr>
      </w:pPr>
      <w:r w:rsidRPr="00715FA2">
        <w:rPr>
          <w:rFonts w:eastAsiaTheme="minorEastAsia"/>
        </w:rPr>
        <w:t>Discussed at parent information nights/sessions</w:t>
      </w:r>
    </w:p>
    <w:p w14:paraId="0C5D563A" w14:textId="77777777" w:rsidR="00C865A9" w:rsidRPr="00715FA2" w:rsidRDefault="00C865A9" w:rsidP="00C865A9">
      <w:pPr>
        <w:pStyle w:val="ListParagraph"/>
        <w:numPr>
          <w:ilvl w:val="0"/>
          <w:numId w:val="15"/>
        </w:numPr>
        <w:spacing w:after="160" w:line="257" w:lineRule="auto"/>
        <w:jc w:val="both"/>
        <w:rPr>
          <w:rFonts w:eastAsiaTheme="minorEastAsia"/>
        </w:rPr>
      </w:pPr>
      <w:r>
        <w:rPr>
          <w:rFonts w:eastAsiaTheme="minorEastAsia"/>
        </w:rPr>
        <w:t>Discussed at student forums/through communication tools</w:t>
      </w:r>
    </w:p>
    <w:p w14:paraId="73C1AE3B" w14:textId="11C8867A" w:rsidR="00C865A9" w:rsidRDefault="00C865A9" w:rsidP="00C865A9">
      <w:pPr>
        <w:pStyle w:val="ListParagraph"/>
        <w:numPr>
          <w:ilvl w:val="0"/>
          <w:numId w:val="15"/>
        </w:numPr>
        <w:spacing w:after="160" w:line="259" w:lineRule="auto"/>
        <w:rPr>
          <w:rFonts w:eastAsiaTheme="minorEastAsia"/>
        </w:rPr>
      </w:pPr>
      <w:r>
        <w:rPr>
          <w:rFonts w:eastAsiaTheme="minorEastAsia"/>
        </w:rPr>
        <w:t>Made available in hard copy from school administration upon request</w:t>
      </w:r>
    </w:p>
    <w:p w14:paraId="54DBA47A" w14:textId="77777777" w:rsidR="00EE06C0" w:rsidRDefault="00EE06C0" w:rsidP="00EE06C0">
      <w:pPr>
        <w:pStyle w:val="ListParagraph"/>
        <w:spacing w:after="160" w:line="259" w:lineRule="auto"/>
        <w:rPr>
          <w:rFonts w:eastAsiaTheme="minorEastAsia"/>
        </w:rPr>
      </w:pPr>
    </w:p>
    <w:p w14:paraId="5E2B14E9" w14:textId="77777777" w:rsidR="00EE06C0" w:rsidRDefault="00EE06C0" w:rsidP="00EE06C0">
      <w:pPr>
        <w:jc w:val="both"/>
        <w:outlineLvl w:val="1"/>
        <w:rPr>
          <w:rFonts w:asciiTheme="majorHAnsi" w:eastAsiaTheme="majorEastAsia" w:hAnsiTheme="majorHAnsi" w:cstheme="majorBidi"/>
          <w:b/>
          <w:caps/>
          <w:color w:val="4F81BD" w:themeColor="accent1"/>
          <w:sz w:val="26"/>
          <w:szCs w:val="26"/>
        </w:rPr>
      </w:pPr>
      <w:r w:rsidRPr="00971D92">
        <w:rPr>
          <w:rFonts w:asciiTheme="majorHAnsi" w:eastAsiaTheme="majorEastAsia" w:hAnsiTheme="majorHAnsi" w:cstheme="majorBidi"/>
          <w:b/>
          <w:caps/>
          <w:color w:val="4F81BD" w:themeColor="accent1"/>
          <w:sz w:val="26"/>
          <w:szCs w:val="26"/>
        </w:rPr>
        <w:t>Further information and resources</w:t>
      </w:r>
    </w:p>
    <w:p w14:paraId="35CE2063" w14:textId="77777777" w:rsidR="00EE06C0" w:rsidRDefault="00EE06C0" w:rsidP="00EE06C0"/>
    <w:p w14:paraId="3FBD4577" w14:textId="77777777" w:rsidR="00EE06C0" w:rsidRPr="00946180" w:rsidRDefault="00EE06C0" w:rsidP="00EE06C0">
      <w:pPr>
        <w:pStyle w:val="ListParagraph"/>
        <w:numPr>
          <w:ilvl w:val="0"/>
          <w:numId w:val="14"/>
        </w:numPr>
      </w:pPr>
      <w:r>
        <w:t xml:space="preserve">VCCA - </w:t>
      </w:r>
      <w:hyperlink r:id="rId11" w:history="1">
        <w:r w:rsidRPr="001469FF">
          <w:rPr>
            <w:rStyle w:val="Hyperlink"/>
            <w:lang w:val="en-US"/>
          </w:rPr>
          <w:t>http://www.vcaa.vic.edu.au/</w:t>
        </w:r>
      </w:hyperlink>
    </w:p>
    <w:p w14:paraId="4E790F2F" w14:textId="77777777" w:rsidR="00EE06C0" w:rsidRPr="00EE06C0" w:rsidRDefault="00EE06C0" w:rsidP="00EE06C0">
      <w:pPr>
        <w:spacing w:after="160" w:line="259" w:lineRule="auto"/>
        <w:rPr>
          <w:rFonts w:eastAsiaTheme="minorEastAsia"/>
        </w:rPr>
      </w:pPr>
    </w:p>
    <w:p w14:paraId="6846125B" w14:textId="77777777" w:rsidR="00C865A9" w:rsidRDefault="00C865A9" w:rsidP="00C865A9">
      <w:pPr>
        <w:jc w:val="both"/>
        <w:rPr>
          <w:rFonts w:asciiTheme="majorHAnsi" w:eastAsiaTheme="minorEastAsia" w:hAnsiTheme="majorHAnsi" w:cstheme="majorHAnsi"/>
          <w:b/>
          <w:bCs/>
          <w:color w:val="4F81BD" w:themeColor="accent1"/>
          <w:sz w:val="27"/>
          <w:szCs w:val="27"/>
        </w:rPr>
      </w:pPr>
    </w:p>
    <w:p w14:paraId="633B0FE3" w14:textId="77777777" w:rsidR="00C865A9" w:rsidRDefault="00C865A9" w:rsidP="00C865A9">
      <w:pPr>
        <w:jc w:val="both"/>
        <w:rPr>
          <w:rFonts w:asciiTheme="majorHAnsi" w:eastAsiaTheme="minorEastAsia" w:hAnsiTheme="majorHAnsi" w:cstheme="majorHAnsi"/>
          <w:b/>
          <w:bCs/>
          <w:color w:val="4F81BD" w:themeColor="accent1"/>
          <w:sz w:val="27"/>
          <w:szCs w:val="27"/>
        </w:rPr>
      </w:pPr>
      <w:r w:rsidRPr="00221648">
        <w:rPr>
          <w:rFonts w:asciiTheme="majorHAnsi" w:eastAsiaTheme="minorEastAsia" w:hAnsiTheme="majorHAnsi" w:cstheme="majorHAnsi"/>
          <w:b/>
          <w:bCs/>
          <w:color w:val="4F81BD" w:themeColor="accent1"/>
          <w:sz w:val="27"/>
          <w:szCs w:val="27"/>
        </w:rPr>
        <w:t>POLICY REVIEW AND APPROVAL</w:t>
      </w:r>
    </w:p>
    <w:p w14:paraId="6BDD67B4" w14:textId="77777777" w:rsidR="00C865A9" w:rsidRPr="00221648" w:rsidRDefault="00C865A9" w:rsidP="00C865A9">
      <w:pPr>
        <w:jc w:val="both"/>
        <w:rPr>
          <w:rFonts w:asciiTheme="majorHAnsi" w:eastAsiaTheme="minorEastAsia" w:hAnsiTheme="majorHAnsi" w:cstheme="majorHAnsi"/>
          <w:b/>
          <w:bCs/>
          <w:color w:val="4F81BD" w:themeColor="accent1"/>
          <w:sz w:val="27"/>
          <w:szCs w:val="27"/>
        </w:rPr>
      </w:pPr>
    </w:p>
    <w:tbl>
      <w:tblPr>
        <w:tblStyle w:val="TableGrid"/>
        <w:tblW w:w="0" w:type="auto"/>
        <w:tblLayout w:type="fixed"/>
        <w:tblLook w:val="06A0" w:firstRow="1" w:lastRow="0" w:firstColumn="1" w:lastColumn="0" w:noHBand="1" w:noVBand="1"/>
      </w:tblPr>
      <w:tblGrid>
        <w:gridCol w:w="2925"/>
        <w:gridCol w:w="6075"/>
      </w:tblGrid>
      <w:tr w:rsidR="00C865A9" w14:paraId="089C069A" w14:textId="77777777" w:rsidTr="007C6D26">
        <w:tc>
          <w:tcPr>
            <w:tcW w:w="2925" w:type="dxa"/>
          </w:tcPr>
          <w:p w14:paraId="27E06857" w14:textId="77777777" w:rsidR="00C865A9" w:rsidRPr="00221648" w:rsidRDefault="00C865A9" w:rsidP="007C6D26">
            <w:pPr>
              <w:rPr>
                <w:rFonts w:ascii="Calibri" w:eastAsia="Calibri" w:hAnsi="Calibri" w:cs="Calibri"/>
              </w:rPr>
            </w:pPr>
            <w:bookmarkStart w:id="0" w:name="_Hlk72158886"/>
            <w:r w:rsidRPr="00221648">
              <w:rPr>
                <w:rFonts w:ascii="Calibri" w:eastAsia="Calibri" w:hAnsi="Calibri" w:cs="Calibri"/>
              </w:rPr>
              <w:t>Policy last reviewed</w:t>
            </w:r>
          </w:p>
        </w:tc>
        <w:tc>
          <w:tcPr>
            <w:tcW w:w="6075" w:type="dxa"/>
          </w:tcPr>
          <w:p w14:paraId="670FA67F" w14:textId="748D509D" w:rsidR="00C865A9" w:rsidRDefault="00C865A9" w:rsidP="007C6D26">
            <w:pPr>
              <w:spacing w:line="259" w:lineRule="auto"/>
              <w:rPr>
                <w:rFonts w:ascii="Calibri" w:eastAsia="Calibri" w:hAnsi="Calibri" w:cs="Calibri"/>
              </w:rPr>
            </w:pPr>
            <w:r>
              <w:rPr>
                <w:rFonts w:ascii="Calibri" w:eastAsia="Calibri" w:hAnsi="Calibri" w:cs="Calibri"/>
              </w:rPr>
              <w:t>9</w:t>
            </w:r>
            <w:r w:rsidRPr="00715FA2">
              <w:rPr>
                <w:rFonts w:ascii="Calibri" w:eastAsia="Calibri" w:hAnsi="Calibri" w:cs="Calibri"/>
                <w:vertAlign w:val="superscript"/>
              </w:rPr>
              <w:t>th</w:t>
            </w:r>
            <w:r>
              <w:rPr>
                <w:rFonts w:ascii="Calibri" w:eastAsia="Calibri" w:hAnsi="Calibri" w:cs="Calibri"/>
              </w:rPr>
              <w:t xml:space="preserve"> November</w:t>
            </w:r>
            <w:r w:rsidR="00EE06C0">
              <w:rPr>
                <w:rFonts w:ascii="Calibri" w:eastAsia="Calibri" w:hAnsi="Calibri" w:cs="Calibri"/>
              </w:rPr>
              <w:t xml:space="preserve"> </w:t>
            </w:r>
            <w:r>
              <w:rPr>
                <w:rFonts w:ascii="Calibri" w:eastAsia="Calibri" w:hAnsi="Calibri" w:cs="Calibri"/>
              </w:rPr>
              <w:t>2021</w:t>
            </w:r>
          </w:p>
          <w:p w14:paraId="5E734E9F" w14:textId="77777777" w:rsidR="00C865A9" w:rsidRPr="00B44270" w:rsidRDefault="00C865A9" w:rsidP="007C6D26">
            <w:pPr>
              <w:spacing w:line="259" w:lineRule="auto"/>
              <w:rPr>
                <w:rFonts w:ascii="Calibri" w:eastAsia="Calibri" w:hAnsi="Calibri" w:cs="Calibri"/>
              </w:rPr>
            </w:pPr>
          </w:p>
        </w:tc>
      </w:tr>
      <w:tr w:rsidR="00C865A9" w14:paraId="2687DC30" w14:textId="77777777" w:rsidTr="007C6D26">
        <w:tc>
          <w:tcPr>
            <w:tcW w:w="2925" w:type="dxa"/>
          </w:tcPr>
          <w:p w14:paraId="64B5F771" w14:textId="77777777" w:rsidR="00C865A9" w:rsidRPr="00B44270" w:rsidRDefault="00C865A9" w:rsidP="007C6D26">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33E29E6A" w14:textId="387BA5CC" w:rsidR="00C865A9" w:rsidRDefault="00EE06C0" w:rsidP="007C6D26">
            <w:pPr>
              <w:spacing w:line="259" w:lineRule="auto"/>
              <w:rPr>
                <w:rFonts w:ascii="Calibri" w:eastAsia="Calibri" w:hAnsi="Calibri" w:cs="Calibri"/>
              </w:rPr>
            </w:pPr>
            <w:r>
              <w:rPr>
                <w:rFonts w:ascii="Calibri" w:eastAsia="Calibri" w:hAnsi="Calibri" w:cs="Calibri"/>
              </w:rPr>
              <w:t>Principal</w:t>
            </w:r>
          </w:p>
          <w:p w14:paraId="17E425B9" w14:textId="77777777" w:rsidR="00C865A9" w:rsidRPr="00B44270" w:rsidRDefault="00C865A9" w:rsidP="007C6D26">
            <w:pPr>
              <w:spacing w:line="259" w:lineRule="auto"/>
              <w:rPr>
                <w:rFonts w:ascii="Calibri" w:eastAsia="Calibri" w:hAnsi="Calibri" w:cs="Calibri"/>
              </w:rPr>
            </w:pPr>
          </w:p>
        </w:tc>
      </w:tr>
      <w:tr w:rsidR="00C865A9" w14:paraId="654C03F6" w14:textId="77777777" w:rsidTr="007C6D26">
        <w:tc>
          <w:tcPr>
            <w:tcW w:w="2925" w:type="dxa"/>
          </w:tcPr>
          <w:p w14:paraId="4516D6D5" w14:textId="77777777" w:rsidR="00C865A9" w:rsidRPr="00B44270" w:rsidRDefault="00C865A9" w:rsidP="007C6D26">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183C8877" w14:textId="73F40C6B" w:rsidR="00C865A9" w:rsidRPr="00B44270" w:rsidRDefault="00EE06C0" w:rsidP="007C6D26">
            <w:pPr>
              <w:spacing w:line="259" w:lineRule="auto"/>
              <w:rPr>
                <w:rFonts w:ascii="Calibri" w:eastAsia="Calibri" w:hAnsi="Calibri" w:cs="Calibri"/>
              </w:rPr>
            </w:pPr>
            <w:r>
              <w:rPr>
                <w:rFonts w:ascii="Calibri" w:eastAsia="Calibri" w:hAnsi="Calibri" w:cs="Calibri"/>
              </w:rPr>
              <w:t>9</w:t>
            </w:r>
            <w:r w:rsidRPr="00EE06C0">
              <w:rPr>
                <w:rFonts w:ascii="Calibri" w:eastAsia="Calibri" w:hAnsi="Calibri" w:cs="Calibri"/>
                <w:vertAlign w:val="superscript"/>
              </w:rPr>
              <w:t>th</w:t>
            </w:r>
            <w:r>
              <w:rPr>
                <w:rFonts w:ascii="Calibri" w:eastAsia="Calibri" w:hAnsi="Calibri" w:cs="Calibri"/>
              </w:rPr>
              <w:t xml:space="preserve"> November 2022</w:t>
            </w:r>
          </w:p>
        </w:tc>
      </w:tr>
      <w:bookmarkEnd w:id="0"/>
    </w:tbl>
    <w:p w14:paraId="460F7186" w14:textId="77777777" w:rsidR="00C865A9" w:rsidRDefault="00C865A9" w:rsidP="00946180">
      <w:pPr>
        <w:ind w:left="426"/>
      </w:pPr>
    </w:p>
    <w:p w14:paraId="0C796B30" w14:textId="77777777" w:rsidR="001469FF" w:rsidRDefault="001469FF" w:rsidP="001469FF"/>
    <w:p w14:paraId="0B66A15D" w14:textId="0941B1F8" w:rsidR="005E2B1B" w:rsidRPr="00946180" w:rsidRDefault="005E2B1B" w:rsidP="00EE06C0">
      <w:pPr>
        <w:spacing w:before="40" w:after="240"/>
        <w:jc w:val="both"/>
      </w:pPr>
    </w:p>
    <w:sectPr w:rsidR="005E2B1B" w:rsidRPr="00946180" w:rsidSect="00554FF5">
      <w:headerReference w:type="even" r:id="rId12"/>
      <w:headerReference w:type="default" r:id="rId13"/>
      <w:footerReference w:type="even" r:id="rId14"/>
      <w:footerReference w:type="default" r:id="rId15"/>
      <w:headerReference w:type="first" r:id="rId16"/>
      <w:footerReference w:type="first" r:id="rId17"/>
      <w:pgSz w:w="11906" w:h="16838"/>
      <w:pgMar w:top="568" w:right="748" w:bottom="567"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059B" w14:textId="77777777" w:rsidR="00F36A12" w:rsidRDefault="00F36A12">
      <w:r>
        <w:separator/>
      </w:r>
    </w:p>
  </w:endnote>
  <w:endnote w:type="continuationSeparator" w:id="0">
    <w:p w14:paraId="581614CF" w14:textId="77777777" w:rsidR="00F36A12" w:rsidRDefault="00F3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32F7" w14:textId="77777777" w:rsidR="00600290" w:rsidRDefault="00600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5065" w14:textId="77777777" w:rsidR="00600290" w:rsidRDefault="006002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26ABC" w14:textId="77777777" w:rsidR="00600290" w:rsidRDefault="0060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DFCF1" w14:textId="77777777" w:rsidR="00F36A12" w:rsidRDefault="00F36A12">
      <w:r>
        <w:separator/>
      </w:r>
    </w:p>
  </w:footnote>
  <w:footnote w:type="continuationSeparator" w:id="0">
    <w:p w14:paraId="526B680C" w14:textId="77777777" w:rsidR="00F36A12" w:rsidRDefault="00F36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12AF" w14:textId="77777777" w:rsidR="00600290" w:rsidRDefault="00600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C4608" w14:textId="77777777" w:rsidR="00600290" w:rsidRDefault="00600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9636" w14:textId="77777777" w:rsidR="00600290" w:rsidRDefault="00600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00"/>
    <w:multiLevelType w:val="hybridMultilevel"/>
    <w:tmpl w:val="78222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120D9"/>
    <w:multiLevelType w:val="hybridMultilevel"/>
    <w:tmpl w:val="C2B42F6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F65DC"/>
    <w:multiLevelType w:val="hybridMultilevel"/>
    <w:tmpl w:val="3A22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87DF1"/>
    <w:multiLevelType w:val="hybridMultilevel"/>
    <w:tmpl w:val="D03C2D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219458B"/>
    <w:multiLevelType w:val="hybridMultilevel"/>
    <w:tmpl w:val="6070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A200E"/>
    <w:multiLevelType w:val="hybridMultilevel"/>
    <w:tmpl w:val="50B45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8B1735"/>
    <w:multiLevelType w:val="hybridMultilevel"/>
    <w:tmpl w:val="B1E89966"/>
    <w:lvl w:ilvl="0" w:tplc="0C090001">
      <w:start w:val="1"/>
      <w:numFmt w:val="bullet"/>
      <w:lvlText w:val=""/>
      <w:lvlJc w:val="left"/>
      <w:pPr>
        <w:ind w:left="1131" w:hanging="360"/>
      </w:pPr>
      <w:rPr>
        <w:rFonts w:ascii="Symbol" w:hAnsi="Symbol" w:hint="default"/>
      </w:rPr>
    </w:lvl>
    <w:lvl w:ilvl="1" w:tplc="0C090003" w:tentative="1">
      <w:start w:val="1"/>
      <w:numFmt w:val="bullet"/>
      <w:lvlText w:val="o"/>
      <w:lvlJc w:val="left"/>
      <w:pPr>
        <w:ind w:left="1851" w:hanging="360"/>
      </w:pPr>
      <w:rPr>
        <w:rFonts w:ascii="Courier New" w:hAnsi="Courier New" w:cs="Courier New" w:hint="default"/>
      </w:rPr>
    </w:lvl>
    <w:lvl w:ilvl="2" w:tplc="0C090005" w:tentative="1">
      <w:start w:val="1"/>
      <w:numFmt w:val="bullet"/>
      <w:lvlText w:val=""/>
      <w:lvlJc w:val="left"/>
      <w:pPr>
        <w:ind w:left="2571" w:hanging="360"/>
      </w:pPr>
      <w:rPr>
        <w:rFonts w:ascii="Wingdings" w:hAnsi="Wingdings" w:hint="default"/>
      </w:rPr>
    </w:lvl>
    <w:lvl w:ilvl="3" w:tplc="0C090001" w:tentative="1">
      <w:start w:val="1"/>
      <w:numFmt w:val="bullet"/>
      <w:lvlText w:val=""/>
      <w:lvlJc w:val="left"/>
      <w:pPr>
        <w:ind w:left="3291" w:hanging="360"/>
      </w:pPr>
      <w:rPr>
        <w:rFonts w:ascii="Symbol" w:hAnsi="Symbol" w:hint="default"/>
      </w:rPr>
    </w:lvl>
    <w:lvl w:ilvl="4" w:tplc="0C090003" w:tentative="1">
      <w:start w:val="1"/>
      <w:numFmt w:val="bullet"/>
      <w:lvlText w:val="o"/>
      <w:lvlJc w:val="left"/>
      <w:pPr>
        <w:ind w:left="4011" w:hanging="360"/>
      </w:pPr>
      <w:rPr>
        <w:rFonts w:ascii="Courier New" w:hAnsi="Courier New" w:cs="Courier New" w:hint="default"/>
      </w:rPr>
    </w:lvl>
    <w:lvl w:ilvl="5" w:tplc="0C090005" w:tentative="1">
      <w:start w:val="1"/>
      <w:numFmt w:val="bullet"/>
      <w:lvlText w:val=""/>
      <w:lvlJc w:val="left"/>
      <w:pPr>
        <w:ind w:left="4731" w:hanging="360"/>
      </w:pPr>
      <w:rPr>
        <w:rFonts w:ascii="Wingdings" w:hAnsi="Wingdings" w:hint="default"/>
      </w:rPr>
    </w:lvl>
    <w:lvl w:ilvl="6" w:tplc="0C090001" w:tentative="1">
      <w:start w:val="1"/>
      <w:numFmt w:val="bullet"/>
      <w:lvlText w:val=""/>
      <w:lvlJc w:val="left"/>
      <w:pPr>
        <w:ind w:left="5451" w:hanging="360"/>
      </w:pPr>
      <w:rPr>
        <w:rFonts w:ascii="Symbol" w:hAnsi="Symbol" w:hint="default"/>
      </w:rPr>
    </w:lvl>
    <w:lvl w:ilvl="7" w:tplc="0C090003" w:tentative="1">
      <w:start w:val="1"/>
      <w:numFmt w:val="bullet"/>
      <w:lvlText w:val="o"/>
      <w:lvlJc w:val="left"/>
      <w:pPr>
        <w:ind w:left="6171" w:hanging="360"/>
      </w:pPr>
      <w:rPr>
        <w:rFonts w:ascii="Courier New" w:hAnsi="Courier New" w:cs="Courier New" w:hint="default"/>
      </w:rPr>
    </w:lvl>
    <w:lvl w:ilvl="8" w:tplc="0C090005" w:tentative="1">
      <w:start w:val="1"/>
      <w:numFmt w:val="bullet"/>
      <w:lvlText w:val=""/>
      <w:lvlJc w:val="left"/>
      <w:pPr>
        <w:ind w:left="6891" w:hanging="360"/>
      </w:pPr>
      <w:rPr>
        <w:rFonts w:ascii="Wingdings" w:hAnsi="Wingdings" w:hint="default"/>
      </w:rPr>
    </w:lvl>
  </w:abstractNum>
  <w:abstractNum w:abstractNumId="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8"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143F81"/>
    <w:multiLevelType w:val="hybridMultilevel"/>
    <w:tmpl w:val="6616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2D6AEB"/>
    <w:multiLevelType w:val="hybridMultilevel"/>
    <w:tmpl w:val="F5AA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635E37"/>
    <w:multiLevelType w:val="hybridMultilevel"/>
    <w:tmpl w:val="3DBEEAA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68803481"/>
    <w:multiLevelType w:val="hybridMultilevel"/>
    <w:tmpl w:val="703041DA"/>
    <w:lvl w:ilvl="0" w:tplc="9AB8F9D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3" w15:restartNumberingAfterBreak="0">
    <w:nsid w:val="6AEB00E6"/>
    <w:multiLevelType w:val="hybridMultilevel"/>
    <w:tmpl w:val="DF9011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9B609D"/>
    <w:multiLevelType w:val="hybridMultilevel"/>
    <w:tmpl w:val="6B50771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468128691">
    <w:abstractNumId w:val="8"/>
  </w:num>
  <w:num w:numId="2" w16cid:durableId="1490830854">
    <w:abstractNumId w:val="2"/>
  </w:num>
  <w:num w:numId="3" w16cid:durableId="855852845">
    <w:abstractNumId w:val="1"/>
  </w:num>
  <w:num w:numId="4" w16cid:durableId="1056853950">
    <w:abstractNumId w:val="5"/>
  </w:num>
  <w:num w:numId="5" w16cid:durableId="141776015">
    <w:abstractNumId w:val="9"/>
  </w:num>
  <w:num w:numId="6" w16cid:durableId="1067024342">
    <w:abstractNumId w:val="13"/>
  </w:num>
  <w:num w:numId="7" w16cid:durableId="1906334336">
    <w:abstractNumId w:val="6"/>
  </w:num>
  <w:num w:numId="8" w16cid:durableId="1651133106">
    <w:abstractNumId w:val="3"/>
  </w:num>
  <w:num w:numId="9" w16cid:durableId="1438720316">
    <w:abstractNumId w:val="11"/>
  </w:num>
  <w:num w:numId="10" w16cid:durableId="714963585">
    <w:abstractNumId w:val="0"/>
  </w:num>
  <w:num w:numId="11" w16cid:durableId="70584533">
    <w:abstractNumId w:val="14"/>
  </w:num>
  <w:num w:numId="12" w16cid:durableId="238177850">
    <w:abstractNumId w:val="12"/>
  </w:num>
  <w:num w:numId="13" w16cid:durableId="1311329592">
    <w:abstractNumId w:val="4"/>
  </w:num>
  <w:num w:numId="14" w16cid:durableId="955984385">
    <w:abstractNumId w:val="10"/>
  </w:num>
  <w:num w:numId="15" w16cid:durableId="210221758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4"/>
    <w:rsid w:val="00032496"/>
    <w:rsid w:val="000429F7"/>
    <w:rsid w:val="00057F86"/>
    <w:rsid w:val="000760D8"/>
    <w:rsid w:val="00084DE9"/>
    <w:rsid w:val="00093915"/>
    <w:rsid w:val="000C718D"/>
    <w:rsid w:val="000F64BB"/>
    <w:rsid w:val="00110A24"/>
    <w:rsid w:val="00116ACF"/>
    <w:rsid w:val="00131561"/>
    <w:rsid w:val="001469FF"/>
    <w:rsid w:val="00151692"/>
    <w:rsid w:val="00171768"/>
    <w:rsid w:val="0017240E"/>
    <w:rsid w:val="0018430A"/>
    <w:rsid w:val="001A6FB2"/>
    <w:rsid w:val="001A76E2"/>
    <w:rsid w:val="001B0492"/>
    <w:rsid w:val="001D79F4"/>
    <w:rsid w:val="001F0F45"/>
    <w:rsid w:val="001F66EF"/>
    <w:rsid w:val="002123BB"/>
    <w:rsid w:val="00224CC4"/>
    <w:rsid w:val="00233FD2"/>
    <w:rsid w:val="00241BF4"/>
    <w:rsid w:val="002426A9"/>
    <w:rsid w:val="00243065"/>
    <w:rsid w:val="00246156"/>
    <w:rsid w:val="00250F76"/>
    <w:rsid w:val="00254B67"/>
    <w:rsid w:val="002560C7"/>
    <w:rsid w:val="00260CD7"/>
    <w:rsid w:val="00270A6B"/>
    <w:rsid w:val="0028005E"/>
    <w:rsid w:val="0028488C"/>
    <w:rsid w:val="002A2145"/>
    <w:rsid w:val="002C43D7"/>
    <w:rsid w:val="002D50D5"/>
    <w:rsid w:val="002E6A60"/>
    <w:rsid w:val="00312E1F"/>
    <w:rsid w:val="00325C74"/>
    <w:rsid w:val="003312FC"/>
    <w:rsid w:val="00352F14"/>
    <w:rsid w:val="003A56B7"/>
    <w:rsid w:val="003A7A76"/>
    <w:rsid w:val="003B2A46"/>
    <w:rsid w:val="003D4ED3"/>
    <w:rsid w:val="00406B57"/>
    <w:rsid w:val="0043039B"/>
    <w:rsid w:val="004311C2"/>
    <w:rsid w:val="00457056"/>
    <w:rsid w:val="00507F66"/>
    <w:rsid w:val="00511BCD"/>
    <w:rsid w:val="00523C56"/>
    <w:rsid w:val="00534ADB"/>
    <w:rsid w:val="00552543"/>
    <w:rsid w:val="00554B6E"/>
    <w:rsid w:val="00554FF5"/>
    <w:rsid w:val="005669C8"/>
    <w:rsid w:val="005900F7"/>
    <w:rsid w:val="00591105"/>
    <w:rsid w:val="0059710E"/>
    <w:rsid w:val="005A36BA"/>
    <w:rsid w:val="005A44D2"/>
    <w:rsid w:val="005B0BC1"/>
    <w:rsid w:val="005E2B1B"/>
    <w:rsid w:val="00600290"/>
    <w:rsid w:val="00604574"/>
    <w:rsid w:val="00611A5C"/>
    <w:rsid w:val="006165CF"/>
    <w:rsid w:val="0063130F"/>
    <w:rsid w:val="0063254D"/>
    <w:rsid w:val="00655746"/>
    <w:rsid w:val="0068148F"/>
    <w:rsid w:val="00683CF2"/>
    <w:rsid w:val="006A22B5"/>
    <w:rsid w:val="006A74D6"/>
    <w:rsid w:val="006B60DD"/>
    <w:rsid w:val="006C10AB"/>
    <w:rsid w:val="007373A2"/>
    <w:rsid w:val="00741111"/>
    <w:rsid w:val="0074233A"/>
    <w:rsid w:val="00747E03"/>
    <w:rsid w:val="007556C0"/>
    <w:rsid w:val="0077434D"/>
    <w:rsid w:val="007B3C91"/>
    <w:rsid w:val="007B4A41"/>
    <w:rsid w:val="007C07BE"/>
    <w:rsid w:val="007C19A0"/>
    <w:rsid w:val="007F456A"/>
    <w:rsid w:val="00816E02"/>
    <w:rsid w:val="008213E0"/>
    <w:rsid w:val="008475D2"/>
    <w:rsid w:val="00852432"/>
    <w:rsid w:val="00856779"/>
    <w:rsid w:val="00870141"/>
    <w:rsid w:val="0088369A"/>
    <w:rsid w:val="00896E21"/>
    <w:rsid w:val="008C065C"/>
    <w:rsid w:val="008C5680"/>
    <w:rsid w:val="008D2600"/>
    <w:rsid w:val="008D2E64"/>
    <w:rsid w:val="008D77A1"/>
    <w:rsid w:val="008E3780"/>
    <w:rsid w:val="008F10C9"/>
    <w:rsid w:val="009276C1"/>
    <w:rsid w:val="00946180"/>
    <w:rsid w:val="00950117"/>
    <w:rsid w:val="00952C6F"/>
    <w:rsid w:val="00953CB9"/>
    <w:rsid w:val="009556C7"/>
    <w:rsid w:val="00991B37"/>
    <w:rsid w:val="00991F57"/>
    <w:rsid w:val="009A6E16"/>
    <w:rsid w:val="009D537F"/>
    <w:rsid w:val="009D6EF4"/>
    <w:rsid w:val="009E0786"/>
    <w:rsid w:val="00A1160C"/>
    <w:rsid w:val="00A56ADF"/>
    <w:rsid w:val="00A807C2"/>
    <w:rsid w:val="00A97924"/>
    <w:rsid w:val="00AF74E3"/>
    <w:rsid w:val="00B2174E"/>
    <w:rsid w:val="00B4488D"/>
    <w:rsid w:val="00B93004"/>
    <w:rsid w:val="00BA15BC"/>
    <w:rsid w:val="00BB0EC9"/>
    <w:rsid w:val="00BC0D93"/>
    <w:rsid w:val="00BC7B0F"/>
    <w:rsid w:val="00BD05B9"/>
    <w:rsid w:val="00C170E9"/>
    <w:rsid w:val="00C25B96"/>
    <w:rsid w:val="00C538B9"/>
    <w:rsid w:val="00C57D71"/>
    <w:rsid w:val="00C80170"/>
    <w:rsid w:val="00C82C9B"/>
    <w:rsid w:val="00C865A9"/>
    <w:rsid w:val="00CB0F2A"/>
    <w:rsid w:val="00CB4388"/>
    <w:rsid w:val="00CB5F92"/>
    <w:rsid w:val="00CC588D"/>
    <w:rsid w:val="00CF7441"/>
    <w:rsid w:val="00D058ED"/>
    <w:rsid w:val="00D15C73"/>
    <w:rsid w:val="00D22D3C"/>
    <w:rsid w:val="00D311B6"/>
    <w:rsid w:val="00D33AB2"/>
    <w:rsid w:val="00D66A42"/>
    <w:rsid w:val="00D91508"/>
    <w:rsid w:val="00DA15CF"/>
    <w:rsid w:val="00DA4A5B"/>
    <w:rsid w:val="00DA701C"/>
    <w:rsid w:val="00DB72AF"/>
    <w:rsid w:val="00DC0167"/>
    <w:rsid w:val="00DC4292"/>
    <w:rsid w:val="00DE1776"/>
    <w:rsid w:val="00DF0440"/>
    <w:rsid w:val="00E321A2"/>
    <w:rsid w:val="00E47B72"/>
    <w:rsid w:val="00E523AC"/>
    <w:rsid w:val="00E55CA3"/>
    <w:rsid w:val="00E5732D"/>
    <w:rsid w:val="00E573B6"/>
    <w:rsid w:val="00E6673F"/>
    <w:rsid w:val="00E7005F"/>
    <w:rsid w:val="00E70C0F"/>
    <w:rsid w:val="00E87828"/>
    <w:rsid w:val="00E8796B"/>
    <w:rsid w:val="00ED1AC1"/>
    <w:rsid w:val="00EE06C0"/>
    <w:rsid w:val="00F06E07"/>
    <w:rsid w:val="00F27103"/>
    <w:rsid w:val="00F36A12"/>
    <w:rsid w:val="00F45CF2"/>
    <w:rsid w:val="00F70805"/>
    <w:rsid w:val="00F9076E"/>
    <w:rsid w:val="00FA2F68"/>
    <w:rsid w:val="00FB5607"/>
    <w:rsid w:val="00FC599B"/>
    <w:rsid w:val="00FE6D51"/>
    <w:rsid w:val="00FE7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8A8DB"/>
  <w15:docId w15:val="{2284454A-1335-4519-A67B-95D71B08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5C74"/>
    <w:rPr>
      <w:sz w:val="24"/>
      <w:szCs w:val="24"/>
      <w:lang w:eastAsia="en-US"/>
    </w:rPr>
  </w:style>
  <w:style w:type="paragraph" w:styleId="Heading1">
    <w:name w:val="heading 1"/>
    <w:basedOn w:val="Normal"/>
    <w:next w:val="Normal"/>
    <w:link w:val="Heading1Char"/>
    <w:qFormat/>
    <w:rsid w:val="004570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C065C"/>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E2B1B"/>
    <w:pPr>
      <w:spacing w:before="100" w:beforeAutospacing="1" w:after="100" w:afterAutospacing="1"/>
      <w:outlineLvl w:val="2"/>
    </w:pPr>
    <w:rPr>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5C74"/>
    <w:pPr>
      <w:tabs>
        <w:tab w:val="center" w:pos="4153"/>
        <w:tab w:val="right" w:pos="8306"/>
      </w:tabs>
    </w:pPr>
  </w:style>
  <w:style w:type="paragraph" w:styleId="Subtitle">
    <w:name w:val="Subtitle"/>
    <w:basedOn w:val="Normal"/>
    <w:qFormat/>
    <w:rsid w:val="00325C74"/>
    <w:pPr>
      <w:ind w:left="709"/>
      <w:jc w:val="center"/>
    </w:pPr>
    <w:rPr>
      <w:b/>
    </w:rPr>
  </w:style>
  <w:style w:type="paragraph" w:styleId="Header">
    <w:name w:val="header"/>
    <w:basedOn w:val="Normal"/>
    <w:rsid w:val="00591105"/>
    <w:pPr>
      <w:tabs>
        <w:tab w:val="center" w:pos="4153"/>
        <w:tab w:val="right" w:pos="8306"/>
      </w:tabs>
    </w:pPr>
  </w:style>
  <w:style w:type="paragraph" w:styleId="BalloonText">
    <w:name w:val="Balloon Text"/>
    <w:basedOn w:val="Normal"/>
    <w:link w:val="BalloonTextChar"/>
    <w:rsid w:val="00DC0167"/>
    <w:rPr>
      <w:rFonts w:ascii="Tahoma" w:hAnsi="Tahoma" w:cs="Tahoma"/>
      <w:sz w:val="16"/>
      <w:szCs w:val="16"/>
    </w:rPr>
  </w:style>
  <w:style w:type="character" w:customStyle="1" w:styleId="BalloonTextChar">
    <w:name w:val="Balloon Text Char"/>
    <w:basedOn w:val="DefaultParagraphFont"/>
    <w:link w:val="BalloonText"/>
    <w:rsid w:val="00DC0167"/>
    <w:rPr>
      <w:rFonts w:ascii="Tahoma" w:hAnsi="Tahoma" w:cs="Tahoma"/>
      <w:sz w:val="16"/>
      <w:szCs w:val="16"/>
      <w:lang w:eastAsia="en-US"/>
    </w:rPr>
  </w:style>
  <w:style w:type="character" w:styleId="Hyperlink">
    <w:name w:val="Hyperlink"/>
    <w:uiPriority w:val="99"/>
    <w:rsid w:val="0077434D"/>
    <w:rPr>
      <w:rFonts w:cs="Times New Roman"/>
      <w:color w:val="0000FF"/>
      <w:u w:val="single"/>
    </w:rPr>
  </w:style>
  <w:style w:type="paragraph" w:styleId="BodyText2">
    <w:name w:val="Body Text 2"/>
    <w:basedOn w:val="Normal"/>
    <w:link w:val="BodyText2Char"/>
    <w:rsid w:val="0077434D"/>
    <w:pPr>
      <w:overflowPunct w:val="0"/>
      <w:autoSpaceDE w:val="0"/>
      <w:autoSpaceDN w:val="0"/>
      <w:adjustRightInd w:val="0"/>
      <w:spacing w:after="200" w:line="276" w:lineRule="auto"/>
      <w:ind w:left="720" w:hanging="720"/>
      <w:textAlignment w:val="baseline"/>
    </w:pPr>
    <w:rPr>
      <w:rFonts w:ascii="Arial" w:hAnsi="Arial"/>
      <w:sz w:val="22"/>
      <w:szCs w:val="20"/>
      <w:lang w:bidi="en-US"/>
    </w:rPr>
  </w:style>
  <w:style w:type="character" w:customStyle="1" w:styleId="BodyText2Char">
    <w:name w:val="Body Text 2 Char"/>
    <w:basedOn w:val="DefaultParagraphFont"/>
    <w:link w:val="BodyText2"/>
    <w:rsid w:val="0077434D"/>
    <w:rPr>
      <w:rFonts w:ascii="Arial" w:hAnsi="Arial"/>
      <w:sz w:val="22"/>
      <w:lang w:eastAsia="en-US" w:bidi="en-US"/>
    </w:rPr>
  </w:style>
  <w:style w:type="paragraph" w:styleId="ListParagraph">
    <w:name w:val="List Paragraph"/>
    <w:basedOn w:val="Normal"/>
    <w:uiPriority w:val="34"/>
    <w:qFormat/>
    <w:rsid w:val="002D50D5"/>
    <w:pPr>
      <w:ind w:left="720"/>
      <w:contextualSpacing/>
    </w:pPr>
  </w:style>
  <w:style w:type="table" w:styleId="TableGrid">
    <w:name w:val="Table Grid"/>
    <w:basedOn w:val="TableNormal"/>
    <w:uiPriority w:val="39"/>
    <w:rsid w:val="00952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E3780"/>
    <w:rPr>
      <w:color w:val="800080" w:themeColor="followedHyperlink"/>
      <w:u w:val="single"/>
    </w:rPr>
  </w:style>
  <w:style w:type="paragraph" w:styleId="NormalWeb">
    <w:name w:val="Normal (Web)"/>
    <w:basedOn w:val="Normal"/>
    <w:uiPriority w:val="99"/>
    <w:unhideWhenUsed/>
    <w:rsid w:val="005E2B1B"/>
    <w:pPr>
      <w:spacing w:before="100" w:beforeAutospacing="1" w:after="100" w:afterAutospacing="1"/>
    </w:pPr>
    <w:rPr>
      <w:lang w:eastAsia="en-AU"/>
    </w:rPr>
  </w:style>
  <w:style w:type="character" w:styleId="Emphasis">
    <w:name w:val="Emphasis"/>
    <w:basedOn w:val="DefaultParagraphFont"/>
    <w:uiPriority w:val="20"/>
    <w:qFormat/>
    <w:rsid w:val="005E2B1B"/>
    <w:rPr>
      <w:i/>
      <w:iCs/>
    </w:rPr>
  </w:style>
  <w:style w:type="character" w:customStyle="1" w:styleId="Heading3Char">
    <w:name w:val="Heading 3 Char"/>
    <w:basedOn w:val="DefaultParagraphFont"/>
    <w:link w:val="Heading3"/>
    <w:uiPriority w:val="9"/>
    <w:rsid w:val="005E2B1B"/>
    <w:rPr>
      <w:b/>
      <w:bCs/>
      <w:sz w:val="27"/>
      <w:szCs w:val="27"/>
    </w:rPr>
  </w:style>
  <w:style w:type="paragraph" w:customStyle="1" w:styleId="mv-element-p">
    <w:name w:val="mv-element-p"/>
    <w:basedOn w:val="Normal"/>
    <w:rsid w:val="005E2B1B"/>
    <w:pPr>
      <w:spacing w:before="100" w:beforeAutospacing="1" w:after="100" w:afterAutospacing="1"/>
    </w:pPr>
    <w:rPr>
      <w:lang w:eastAsia="en-AU"/>
    </w:rPr>
  </w:style>
  <w:style w:type="character" w:customStyle="1" w:styleId="Heading1Char">
    <w:name w:val="Heading 1 Char"/>
    <w:basedOn w:val="DefaultParagraphFont"/>
    <w:link w:val="Heading1"/>
    <w:rsid w:val="00457056"/>
    <w:rPr>
      <w:rFonts w:asciiTheme="majorHAnsi" w:eastAsiaTheme="majorEastAsia" w:hAnsiTheme="majorHAnsi" w:cstheme="majorBidi"/>
      <w:color w:val="365F91" w:themeColor="accent1" w:themeShade="BF"/>
      <w:sz w:val="32"/>
      <w:szCs w:val="32"/>
      <w:lang w:eastAsia="en-US"/>
    </w:rPr>
  </w:style>
  <w:style w:type="character" w:customStyle="1" w:styleId="CharStyle166">
    <w:name w:val="Char Style 166"/>
    <w:uiPriority w:val="99"/>
    <w:rsid w:val="00457056"/>
    <w:rPr>
      <w:rFonts w:ascii="Arial" w:hAnsi="Arial" w:cs="Arial"/>
      <w:color w:val="D12D4D"/>
      <w:spacing w:val="0"/>
      <w:sz w:val="47"/>
      <w:szCs w:val="47"/>
    </w:rPr>
  </w:style>
  <w:style w:type="character" w:styleId="Strong">
    <w:name w:val="Strong"/>
    <w:basedOn w:val="DefaultParagraphFont"/>
    <w:qFormat/>
    <w:rsid w:val="00457056"/>
    <w:rPr>
      <w:b/>
      <w:bCs/>
    </w:rPr>
  </w:style>
  <w:style w:type="paragraph" w:styleId="ListBullet">
    <w:name w:val="List Bullet"/>
    <w:basedOn w:val="Normal"/>
    <w:rsid w:val="00457056"/>
    <w:pPr>
      <w:numPr>
        <w:numId w:val="1"/>
      </w:numPr>
      <w:spacing w:after="84"/>
    </w:pPr>
    <w:rPr>
      <w:rFonts w:ascii="Arial" w:hAnsi="Arial"/>
      <w:color w:val="000000"/>
      <w:sz w:val="20"/>
    </w:rPr>
  </w:style>
  <w:style w:type="character" w:customStyle="1" w:styleId="CharStyle62">
    <w:name w:val="Char Style 62"/>
    <w:uiPriority w:val="99"/>
    <w:rsid w:val="00457056"/>
  </w:style>
  <w:style w:type="paragraph" w:styleId="Title">
    <w:name w:val="Title"/>
    <w:basedOn w:val="Normal"/>
    <w:link w:val="TitleChar"/>
    <w:qFormat/>
    <w:rsid w:val="0088369A"/>
    <w:pPr>
      <w:ind w:left="709"/>
      <w:jc w:val="center"/>
    </w:pPr>
    <w:rPr>
      <w:b/>
      <w:u w:val="single"/>
    </w:rPr>
  </w:style>
  <w:style w:type="character" w:customStyle="1" w:styleId="TitleChar">
    <w:name w:val="Title Char"/>
    <w:basedOn w:val="DefaultParagraphFont"/>
    <w:link w:val="Title"/>
    <w:rsid w:val="0088369A"/>
    <w:rPr>
      <w:b/>
      <w:sz w:val="24"/>
      <w:szCs w:val="24"/>
      <w:u w:val="single"/>
      <w:lang w:eastAsia="en-US"/>
    </w:rPr>
  </w:style>
  <w:style w:type="table" w:customStyle="1" w:styleId="TableGrid1">
    <w:name w:val="Table Grid1"/>
    <w:basedOn w:val="TableNormal"/>
    <w:next w:val="TableGrid"/>
    <w:uiPriority w:val="39"/>
    <w:rsid w:val="008D7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C065C"/>
    <w:rPr>
      <w:rFonts w:asciiTheme="majorHAnsi" w:eastAsiaTheme="majorEastAsia" w:hAnsiTheme="majorHAnsi" w:cstheme="majorBidi"/>
      <w:color w:val="365F91" w:themeColor="accent1" w:themeShade="BF"/>
      <w:sz w:val="26"/>
      <w:szCs w:val="26"/>
      <w:lang w:eastAsia="en-US"/>
    </w:rPr>
  </w:style>
  <w:style w:type="paragraph" w:styleId="BlockText">
    <w:name w:val="Block Text"/>
    <w:basedOn w:val="Normal"/>
    <w:rsid w:val="008C5680"/>
    <w:pPr>
      <w:suppressAutoHyphens/>
      <w:spacing w:after="280" w:line="300" w:lineRule="exact"/>
      <w:ind w:right="45"/>
    </w:pPr>
    <w:rPr>
      <w:rFonts w:ascii="Arial" w:eastAsia="Times" w:hAnsi="Arial"/>
      <w:sz w:val="20"/>
      <w:szCs w:val="20"/>
      <w:lang w:eastAsia="en-AU"/>
    </w:rPr>
  </w:style>
  <w:style w:type="paragraph" w:styleId="BodyText">
    <w:name w:val="Body Text"/>
    <w:basedOn w:val="Normal"/>
    <w:link w:val="BodyTextChar"/>
    <w:semiHidden/>
    <w:unhideWhenUsed/>
    <w:rsid w:val="008C5680"/>
    <w:pPr>
      <w:spacing w:after="120"/>
    </w:pPr>
  </w:style>
  <w:style w:type="character" w:customStyle="1" w:styleId="BodyTextChar">
    <w:name w:val="Body Text Char"/>
    <w:basedOn w:val="DefaultParagraphFont"/>
    <w:link w:val="BodyText"/>
    <w:semiHidden/>
    <w:rsid w:val="008C5680"/>
    <w:rPr>
      <w:sz w:val="24"/>
      <w:szCs w:val="24"/>
      <w:lang w:eastAsia="en-US"/>
    </w:rPr>
  </w:style>
  <w:style w:type="paragraph" w:styleId="FootnoteText">
    <w:name w:val="footnote text"/>
    <w:basedOn w:val="Normal"/>
    <w:link w:val="FootnoteTextChar"/>
    <w:semiHidden/>
    <w:rsid w:val="00E7005F"/>
    <w:rPr>
      <w:sz w:val="20"/>
      <w:szCs w:val="20"/>
    </w:rPr>
  </w:style>
  <w:style w:type="character" w:customStyle="1" w:styleId="FootnoteTextChar">
    <w:name w:val="Footnote Text Char"/>
    <w:basedOn w:val="DefaultParagraphFont"/>
    <w:link w:val="FootnoteText"/>
    <w:semiHidden/>
    <w:rsid w:val="00E7005F"/>
    <w:rPr>
      <w:lang w:eastAsia="en-US"/>
    </w:rPr>
  </w:style>
  <w:style w:type="character" w:styleId="FootnoteReference">
    <w:name w:val="footnote reference"/>
    <w:basedOn w:val="DefaultParagraphFont"/>
    <w:semiHidden/>
    <w:rsid w:val="00E7005F"/>
    <w:rPr>
      <w:vertAlign w:val="superscript"/>
    </w:rPr>
  </w:style>
  <w:style w:type="paragraph" w:styleId="TOC3">
    <w:name w:val="toc 3"/>
    <w:basedOn w:val="Normal"/>
    <w:next w:val="Normal"/>
    <w:autoRedefine/>
    <w:semiHidden/>
    <w:rsid w:val="0059710E"/>
    <w:pPr>
      <w:tabs>
        <w:tab w:val="left" w:pos="1200"/>
        <w:tab w:val="right" w:leader="dot" w:pos="10080"/>
      </w:tabs>
      <w:spacing w:before="120" w:after="120"/>
      <w:ind w:left="540"/>
    </w:pPr>
    <w:rPr>
      <w:lang w:eastAsia="en-AU"/>
    </w:rPr>
  </w:style>
  <w:style w:type="paragraph" w:customStyle="1" w:styleId="Default">
    <w:name w:val="Default"/>
    <w:rsid w:val="0094618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649">
      <w:bodyDiv w:val="1"/>
      <w:marLeft w:val="0"/>
      <w:marRight w:val="0"/>
      <w:marTop w:val="0"/>
      <w:marBottom w:val="0"/>
      <w:divBdr>
        <w:top w:val="none" w:sz="0" w:space="0" w:color="auto"/>
        <w:left w:val="none" w:sz="0" w:space="0" w:color="auto"/>
        <w:bottom w:val="none" w:sz="0" w:space="0" w:color="auto"/>
        <w:right w:val="none" w:sz="0" w:space="0" w:color="auto"/>
      </w:divBdr>
    </w:div>
    <w:div w:id="963659341">
      <w:bodyDiv w:val="1"/>
      <w:marLeft w:val="0"/>
      <w:marRight w:val="0"/>
      <w:marTop w:val="0"/>
      <w:marBottom w:val="0"/>
      <w:divBdr>
        <w:top w:val="none" w:sz="0" w:space="0" w:color="auto"/>
        <w:left w:val="none" w:sz="0" w:space="0" w:color="auto"/>
        <w:bottom w:val="none" w:sz="0" w:space="0" w:color="auto"/>
        <w:right w:val="none" w:sz="0" w:space="0" w:color="auto"/>
      </w:divBdr>
    </w:div>
    <w:div w:id="1038551338">
      <w:bodyDiv w:val="1"/>
      <w:marLeft w:val="0"/>
      <w:marRight w:val="0"/>
      <w:marTop w:val="0"/>
      <w:marBottom w:val="0"/>
      <w:divBdr>
        <w:top w:val="none" w:sz="0" w:space="0" w:color="auto"/>
        <w:left w:val="none" w:sz="0" w:space="0" w:color="auto"/>
        <w:bottom w:val="none" w:sz="0" w:space="0" w:color="auto"/>
        <w:right w:val="none" w:sz="0" w:space="0" w:color="auto"/>
      </w:divBdr>
    </w:div>
    <w:div w:id="1371954244">
      <w:bodyDiv w:val="1"/>
      <w:marLeft w:val="0"/>
      <w:marRight w:val="0"/>
      <w:marTop w:val="0"/>
      <w:marBottom w:val="0"/>
      <w:divBdr>
        <w:top w:val="none" w:sz="0" w:space="0" w:color="auto"/>
        <w:left w:val="none" w:sz="0" w:space="0" w:color="auto"/>
        <w:bottom w:val="none" w:sz="0" w:space="0" w:color="auto"/>
        <w:right w:val="none" w:sz="0" w:space="0" w:color="auto"/>
      </w:divBdr>
    </w:div>
    <w:div w:id="15641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caa.vic.edu.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erald.sc@education.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AF020-213C-4D66-A083-6EBE83C9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5969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Department of Education and Training</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2</cp:revision>
  <cp:lastPrinted>2020-05-15T02:49:00Z</cp:lastPrinted>
  <dcterms:created xsi:type="dcterms:W3CDTF">2022-10-05T00:21:00Z</dcterms:created>
  <dcterms:modified xsi:type="dcterms:W3CDTF">2022-10-05T00:21:00Z</dcterms:modified>
</cp:coreProperties>
</file>